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826" w:beforeAutospacing="0" w:after="76" w:afterAutospacing="0" w:line="600" w:lineRule="atLeast"/>
        <w:ind w:left="0" w:right="0"/>
        <w:jc w:val="center"/>
        <w:rPr>
          <w:b w:val="0"/>
          <w:bCs w:val="0"/>
          <w:color w:val="2C5CA8"/>
          <w:sz w:val="36"/>
          <w:szCs w:val="36"/>
        </w:rPr>
      </w:pPr>
      <w:r>
        <w:rPr>
          <w:b w:val="0"/>
          <w:bCs w:val="0"/>
          <w:color w:val="2C5CA8"/>
          <w:sz w:val="36"/>
          <w:szCs w:val="36"/>
          <w:shd w:val="clear" w:fill="FFFFFF"/>
        </w:rPr>
        <w:t>安徽省学校安全条例</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80" w:lineRule="exact"/>
        <w:ind w:left="0" w:right="0"/>
        <w:jc w:val="center"/>
      </w:pPr>
      <w:bookmarkStart w:id="0" w:name="_GoBack"/>
      <w:bookmarkEnd w:id="0"/>
      <w:r>
        <w:rPr>
          <w:rFonts w:ascii="方正小标宋简体" w:hAnsi="方正小标宋简体" w:eastAsia="方正小标宋简体" w:cs="方正小标宋简体"/>
          <w:color w:val="454545"/>
          <w:kern w:val="0"/>
          <w:sz w:val="44"/>
          <w:szCs w:val="44"/>
          <w:bdr w:val="none" w:color="auto" w:sz="0" w:space="0"/>
          <w:shd w:val="clear" w:fill="FFFFFF"/>
          <w:lang w:val="en-US" w:eastAsia="zh-CN" w:bidi="ar"/>
        </w:rPr>
        <w:t>安徽省人民代表大会常务委员会</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80" w:lineRule="exact"/>
        <w:ind w:left="0" w:right="0"/>
        <w:jc w:val="center"/>
      </w:pPr>
      <w:r>
        <w:rPr>
          <w:rFonts w:hint="eastAsia" w:ascii="方正小标宋简体" w:hAnsi="方正小标宋简体" w:eastAsia="方正小标宋简体" w:cs="方正小标宋简体"/>
          <w:color w:val="454545"/>
          <w:kern w:val="0"/>
          <w:sz w:val="44"/>
          <w:szCs w:val="44"/>
          <w:bdr w:val="none" w:color="auto" w:sz="0" w:space="0"/>
          <w:shd w:val="clear" w:fill="FFFFFF"/>
          <w:lang w:val="en-US" w:eastAsia="zh-CN" w:bidi="ar"/>
        </w:rPr>
        <w:t>公        告</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center"/>
      </w:pPr>
      <w:r>
        <w:rPr>
          <w:rFonts w:ascii="楷体_GB2312" w:hAnsi="微软雅黑" w:eastAsia="楷体_GB2312" w:cs="楷体_GB2312"/>
          <w:color w:val="454545"/>
          <w:kern w:val="0"/>
          <w:sz w:val="32"/>
          <w:szCs w:val="32"/>
          <w:bdr w:val="none" w:color="auto" w:sz="0" w:space="0"/>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center"/>
      </w:pPr>
      <w:r>
        <w:rPr>
          <w:rFonts w:hint="default" w:ascii="楷体_GB2312" w:hAnsi="微软雅黑" w:eastAsia="楷体_GB2312" w:cs="楷体_GB2312"/>
          <w:color w:val="454545"/>
          <w:kern w:val="0"/>
          <w:sz w:val="32"/>
          <w:szCs w:val="32"/>
          <w:bdr w:val="none" w:color="auto" w:sz="0" w:space="0"/>
          <w:shd w:val="clear" w:fill="FFFFFF"/>
          <w:lang w:val="en-US" w:eastAsia="zh-CN" w:bidi="ar"/>
        </w:rPr>
        <w:t>（第八十号）</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center"/>
      </w:pPr>
      <w:r>
        <w:rPr>
          <w:rFonts w:hint="default" w:ascii="楷体_GB2312" w:hAnsi="微软雅黑" w:eastAsia="楷体_GB2312" w:cs="楷体_GB2312"/>
          <w:color w:val="454545"/>
          <w:kern w:val="0"/>
          <w:sz w:val="32"/>
          <w:szCs w:val="32"/>
          <w:bdr w:val="none" w:color="auto" w:sz="0" w:space="0"/>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both"/>
      </w:pPr>
      <w:r>
        <w:rPr>
          <w:rFonts w:ascii="仿宋_GB2312" w:hAnsi="微软雅黑" w:eastAsia="仿宋_GB2312" w:cs="仿宋_GB2312"/>
          <w:color w:val="454545"/>
          <w:kern w:val="0"/>
          <w:sz w:val="32"/>
          <w:szCs w:val="32"/>
          <w:bdr w:val="none" w:color="auto" w:sz="0" w:space="0"/>
          <w:shd w:val="clear" w:fill="FFFFFF"/>
          <w:lang w:val="en-US" w:eastAsia="zh-CN" w:bidi="ar"/>
        </w:rPr>
        <w:t>《安徽省学校安全条例》已经</w:t>
      </w:r>
      <w:r>
        <w:rPr>
          <w:rFonts w:hint="default" w:ascii="Times New Roman" w:hAnsi="Times New Roman" w:eastAsia="仿宋_GB2312" w:cs="Times New Roman"/>
          <w:color w:val="454545"/>
          <w:kern w:val="0"/>
          <w:sz w:val="32"/>
          <w:szCs w:val="32"/>
          <w:bdr w:val="none" w:color="auto" w:sz="0" w:space="0"/>
          <w:shd w:val="clear" w:fill="FFFFFF"/>
          <w:lang w:val="en-US" w:eastAsia="zh-CN" w:bidi="ar"/>
        </w:rPr>
        <w:t>2022</w:t>
      </w:r>
      <w:r>
        <w:rPr>
          <w:rFonts w:hint="eastAsia" w:ascii="仿宋_GB2312" w:hAnsi="微软雅黑" w:eastAsia="仿宋_GB2312" w:cs="仿宋_GB2312"/>
          <w:color w:val="454545"/>
          <w:kern w:val="0"/>
          <w:sz w:val="32"/>
          <w:szCs w:val="32"/>
          <w:bdr w:val="none" w:color="auto" w:sz="0" w:space="0"/>
          <w:shd w:val="clear" w:fill="FFFFFF"/>
          <w:lang w:val="en-US" w:eastAsia="zh-CN" w:bidi="ar"/>
        </w:rPr>
        <w:t>年</w:t>
      </w:r>
      <w:r>
        <w:rPr>
          <w:rFonts w:hint="default" w:ascii="Times New Roman" w:hAnsi="Times New Roman" w:eastAsia="仿宋_GB2312" w:cs="Times New Roman"/>
          <w:color w:val="454545"/>
          <w:kern w:val="0"/>
          <w:sz w:val="32"/>
          <w:szCs w:val="32"/>
          <w:bdr w:val="none" w:color="auto" w:sz="0" w:space="0"/>
          <w:shd w:val="clear" w:fill="FFFFFF"/>
          <w:lang w:val="en-US" w:eastAsia="zh-CN" w:bidi="ar"/>
        </w:rPr>
        <w:t>11</w:t>
      </w:r>
      <w:r>
        <w:rPr>
          <w:rFonts w:hint="eastAsia" w:ascii="仿宋_GB2312" w:hAnsi="微软雅黑" w:eastAsia="仿宋_GB2312" w:cs="仿宋_GB2312"/>
          <w:color w:val="454545"/>
          <w:kern w:val="0"/>
          <w:sz w:val="32"/>
          <w:szCs w:val="32"/>
          <w:bdr w:val="none" w:color="auto" w:sz="0" w:space="0"/>
          <w:shd w:val="clear" w:fill="FFFFFF"/>
          <w:lang w:val="en-US" w:eastAsia="zh-CN" w:bidi="ar"/>
        </w:rPr>
        <w:t>月</w:t>
      </w:r>
      <w:r>
        <w:rPr>
          <w:rFonts w:hint="default" w:ascii="Times New Roman" w:hAnsi="Times New Roman" w:eastAsia="仿宋_GB2312" w:cs="Times New Roman"/>
          <w:color w:val="454545"/>
          <w:kern w:val="0"/>
          <w:sz w:val="32"/>
          <w:szCs w:val="32"/>
          <w:bdr w:val="none" w:color="auto" w:sz="0" w:space="0"/>
          <w:shd w:val="clear" w:fill="FFFFFF"/>
          <w:lang w:val="en-US" w:eastAsia="zh-CN" w:bidi="ar"/>
        </w:rPr>
        <w:t>18</w:t>
      </w:r>
      <w:r>
        <w:rPr>
          <w:rFonts w:hint="eastAsia" w:ascii="仿宋_GB2312" w:hAnsi="微软雅黑" w:eastAsia="仿宋_GB2312" w:cs="仿宋_GB2312"/>
          <w:color w:val="454545"/>
          <w:kern w:val="0"/>
          <w:sz w:val="32"/>
          <w:szCs w:val="32"/>
          <w:bdr w:val="none" w:color="auto" w:sz="0" w:space="0"/>
          <w:shd w:val="clear" w:fill="FFFFFF"/>
          <w:lang w:val="en-US" w:eastAsia="zh-CN" w:bidi="ar"/>
        </w:rPr>
        <w:t>日安徽省第十三届人民代表大会常务委员会第三十八次会议通过，现予公布，自</w:t>
      </w:r>
      <w:r>
        <w:rPr>
          <w:rFonts w:hint="default" w:ascii="Times New Roman" w:hAnsi="Times New Roman" w:eastAsia="仿宋_GB2312" w:cs="Times New Roman"/>
          <w:color w:val="454545"/>
          <w:kern w:val="0"/>
          <w:sz w:val="32"/>
          <w:szCs w:val="32"/>
          <w:bdr w:val="none" w:color="auto" w:sz="0" w:space="0"/>
          <w:shd w:val="clear" w:fill="FFFFFF"/>
          <w:lang w:val="en-US" w:eastAsia="zh-CN" w:bidi="ar"/>
        </w:rPr>
        <w:t>2023</w:t>
      </w:r>
      <w:r>
        <w:rPr>
          <w:rFonts w:hint="eastAsia" w:ascii="仿宋_GB2312" w:hAnsi="微软雅黑" w:eastAsia="仿宋_GB2312" w:cs="仿宋_GB2312"/>
          <w:color w:val="454545"/>
          <w:kern w:val="0"/>
          <w:sz w:val="32"/>
          <w:szCs w:val="32"/>
          <w:bdr w:val="none" w:color="auto" w:sz="0" w:space="0"/>
          <w:shd w:val="clear" w:fill="FFFFFF"/>
          <w:lang w:val="en-US" w:eastAsia="zh-CN" w:bidi="ar"/>
        </w:rPr>
        <w:t>年</w:t>
      </w:r>
      <w:r>
        <w:rPr>
          <w:rFonts w:hint="default" w:ascii="Times New Roman" w:hAnsi="Times New Roman" w:eastAsia="仿宋_GB2312" w:cs="Times New Roman"/>
          <w:color w:val="454545"/>
          <w:kern w:val="0"/>
          <w:sz w:val="32"/>
          <w:szCs w:val="32"/>
          <w:bdr w:val="none" w:color="auto" w:sz="0" w:space="0"/>
          <w:shd w:val="clear" w:fill="FFFFFF"/>
          <w:lang w:val="en-US" w:eastAsia="zh-CN" w:bidi="ar"/>
        </w:rPr>
        <w:t>1</w:t>
      </w:r>
      <w:r>
        <w:rPr>
          <w:rFonts w:hint="eastAsia" w:ascii="仿宋_GB2312" w:hAnsi="微软雅黑" w:eastAsia="仿宋_GB2312" w:cs="仿宋_GB2312"/>
          <w:color w:val="454545"/>
          <w:kern w:val="0"/>
          <w:sz w:val="32"/>
          <w:szCs w:val="32"/>
          <w:bdr w:val="none" w:color="auto" w:sz="0" w:space="0"/>
          <w:shd w:val="clear" w:fill="FFFFFF"/>
          <w:lang w:val="en-US" w:eastAsia="zh-CN" w:bidi="ar"/>
        </w:rPr>
        <w:t>月</w:t>
      </w:r>
      <w:r>
        <w:rPr>
          <w:rFonts w:hint="default" w:ascii="Times New Roman" w:hAnsi="Times New Roman" w:eastAsia="仿宋_GB2312" w:cs="Times New Roman"/>
          <w:color w:val="454545"/>
          <w:kern w:val="0"/>
          <w:sz w:val="32"/>
          <w:szCs w:val="32"/>
          <w:bdr w:val="none" w:color="auto" w:sz="0" w:space="0"/>
          <w:shd w:val="clear" w:fill="FFFFFF"/>
          <w:lang w:val="en-US" w:eastAsia="zh-CN" w:bidi="ar"/>
        </w:rPr>
        <w:t>1</w:t>
      </w:r>
      <w:r>
        <w:rPr>
          <w:rFonts w:hint="eastAsia" w:ascii="仿宋_GB2312" w:hAnsi="微软雅黑" w:eastAsia="仿宋_GB2312" w:cs="仿宋_GB2312"/>
          <w:color w:val="454545"/>
          <w:kern w:val="0"/>
          <w:sz w:val="32"/>
          <w:szCs w:val="32"/>
          <w:bdr w:val="none" w:color="auto" w:sz="0" w:space="0"/>
          <w:shd w:val="clear" w:fill="FFFFFF"/>
          <w:lang w:val="en-US" w:eastAsia="zh-CN" w:bidi="ar"/>
        </w:rPr>
        <w:t>日起施行。</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both"/>
      </w:pPr>
      <w:r>
        <w:rPr>
          <w:rFonts w:hint="eastAsia" w:ascii="仿宋_GB2312" w:hAnsi="微软雅黑" w:eastAsia="仿宋_GB2312" w:cs="仿宋_GB2312"/>
          <w:color w:val="454545"/>
          <w:kern w:val="0"/>
          <w:sz w:val="32"/>
          <w:szCs w:val="32"/>
          <w:bdr w:val="none" w:color="auto" w:sz="0" w:space="0"/>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both"/>
      </w:pPr>
      <w:r>
        <w:rPr>
          <w:rFonts w:hint="eastAsia" w:ascii="仿宋_GB2312" w:hAnsi="微软雅黑" w:eastAsia="仿宋_GB2312" w:cs="仿宋_GB2312"/>
          <w:color w:val="454545"/>
          <w:kern w:val="0"/>
          <w:sz w:val="32"/>
          <w:szCs w:val="32"/>
          <w:bdr w:val="none" w:color="auto" w:sz="0" w:space="0"/>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315" w:rightChars="150"/>
        <w:jc w:val="righ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安徽省人民代表大会常务委员会</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840" w:rightChars="400"/>
        <w:jc w:val="right"/>
      </w:pPr>
      <w:r>
        <w:rPr>
          <w:rFonts w:hint="default" w:ascii="Times New Roman" w:hAnsi="Times New Roman" w:eastAsia="仿宋_GB2312" w:cs="Times New Roman"/>
          <w:color w:val="454545"/>
          <w:kern w:val="0"/>
          <w:sz w:val="32"/>
          <w:szCs w:val="32"/>
          <w:bdr w:val="none" w:color="auto" w:sz="0" w:space="0"/>
          <w:shd w:val="clear" w:fill="FFFFFF"/>
          <w:lang w:val="en-US" w:eastAsia="zh-CN" w:bidi="ar"/>
        </w:rPr>
        <w:t>2022</w:t>
      </w:r>
      <w:r>
        <w:rPr>
          <w:rFonts w:hint="eastAsia" w:ascii="仿宋_GB2312" w:hAnsi="微软雅黑" w:eastAsia="仿宋_GB2312" w:cs="仿宋_GB2312"/>
          <w:color w:val="454545"/>
          <w:kern w:val="0"/>
          <w:sz w:val="32"/>
          <w:szCs w:val="32"/>
          <w:bdr w:val="none" w:color="auto" w:sz="0" w:space="0"/>
          <w:shd w:val="clear" w:fill="FFFFFF"/>
          <w:lang w:val="en-US" w:eastAsia="zh-CN" w:bidi="ar"/>
        </w:rPr>
        <w:t>年</w:t>
      </w:r>
      <w:r>
        <w:rPr>
          <w:rFonts w:hint="default" w:ascii="Times New Roman" w:hAnsi="Times New Roman" w:eastAsia="仿宋_GB2312" w:cs="Times New Roman"/>
          <w:color w:val="454545"/>
          <w:kern w:val="0"/>
          <w:sz w:val="32"/>
          <w:szCs w:val="32"/>
          <w:bdr w:val="none" w:color="auto" w:sz="0" w:space="0"/>
          <w:shd w:val="clear" w:fill="FFFFFF"/>
          <w:lang w:val="en-US" w:eastAsia="zh-CN" w:bidi="ar"/>
        </w:rPr>
        <w:t>11</w:t>
      </w:r>
      <w:r>
        <w:rPr>
          <w:rFonts w:hint="eastAsia" w:ascii="仿宋_GB2312" w:hAnsi="微软雅黑" w:eastAsia="仿宋_GB2312" w:cs="仿宋_GB2312"/>
          <w:color w:val="454545"/>
          <w:kern w:val="0"/>
          <w:sz w:val="32"/>
          <w:szCs w:val="32"/>
          <w:bdr w:val="none" w:color="auto" w:sz="0" w:space="0"/>
          <w:shd w:val="clear" w:fill="FFFFFF"/>
          <w:lang w:val="en-US" w:eastAsia="zh-CN" w:bidi="ar"/>
        </w:rPr>
        <w:t>月</w:t>
      </w:r>
      <w:r>
        <w:rPr>
          <w:rFonts w:hint="default" w:ascii="Times New Roman" w:hAnsi="Times New Roman" w:eastAsia="仿宋_GB2312" w:cs="Times New Roman"/>
          <w:color w:val="454545"/>
          <w:kern w:val="0"/>
          <w:sz w:val="32"/>
          <w:szCs w:val="32"/>
          <w:bdr w:val="none" w:color="auto" w:sz="0" w:space="0"/>
          <w:shd w:val="clear" w:fill="FFFFFF"/>
          <w:lang w:val="en-US" w:eastAsia="zh-CN" w:bidi="ar"/>
        </w:rPr>
        <w:t>21</w:t>
      </w:r>
      <w:r>
        <w:rPr>
          <w:rFonts w:hint="eastAsia" w:ascii="仿宋_GB2312" w:hAnsi="微软雅黑" w:eastAsia="仿宋_GB2312" w:cs="仿宋_GB2312"/>
          <w:color w:val="454545"/>
          <w:kern w:val="0"/>
          <w:sz w:val="32"/>
          <w:szCs w:val="32"/>
          <w:bdr w:val="none" w:color="auto" w:sz="0" w:space="0"/>
          <w:shd w:val="clear" w:fill="FFFFFF"/>
          <w:lang w:val="en-US" w:eastAsia="zh-CN" w:bidi="ar"/>
        </w:rPr>
        <w:t>日</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680" w:lineRule="exact"/>
        <w:ind w:left="0" w:right="0" w:firstLine="320" w:firstLineChars="100"/>
        <w:jc w:val="center"/>
      </w:pPr>
      <w:r>
        <w:rPr>
          <w:rFonts w:hint="default" w:ascii="楷体_GB2312" w:hAnsi="微软雅黑" w:eastAsia="楷体_GB2312" w:cs="楷体_GB2312"/>
          <w:color w:val="454545"/>
          <w:sz w:val="32"/>
          <w:szCs w:val="32"/>
          <w:bdr w:val="none" w:color="auto" w:sz="0" w:space="0"/>
          <w:shd w:val="clear" w:fill="FFFFFF"/>
        </w:rPr>
        <w:br w:type="page"/>
      </w:r>
      <w:r>
        <w:rPr>
          <w:rFonts w:ascii="方正小标宋_GBK" w:hAnsi="方正小标宋_GBK" w:eastAsia="方正小标宋_GBK" w:cs="方正小标宋_GBK"/>
          <w:color w:val="454545"/>
          <w:kern w:val="0"/>
          <w:sz w:val="44"/>
          <w:szCs w:val="44"/>
          <w:bdr w:val="none" w:color="auto" w:sz="0" w:space="0"/>
          <w:shd w:val="clear" w:fill="FFFFFF"/>
          <w:lang w:val="en-US" w:eastAsia="zh-CN" w:bidi="ar"/>
        </w:rPr>
        <w:t>安徽省学校安全条例</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center"/>
      </w:pPr>
      <w:r>
        <w:rPr>
          <w:rFonts w:hint="default" w:ascii="楷体_GB2312" w:hAnsi="微软雅黑" w:eastAsia="楷体_GB2312" w:cs="楷体_GB2312"/>
          <w:color w:val="454545"/>
          <w:kern w:val="0"/>
          <w:sz w:val="32"/>
          <w:szCs w:val="32"/>
          <w:bdr w:val="none" w:color="auto" w:sz="0" w:space="0"/>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center"/>
      </w:pPr>
      <w:r>
        <w:rPr>
          <w:rFonts w:hint="default" w:ascii="楷体_GB2312" w:hAnsi="微软雅黑" w:eastAsia="楷体_GB2312" w:cs="楷体_GB2312"/>
          <w:color w:val="454545"/>
          <w:kern w:val="0"/>
          <w:sz w:val="32"/>
          <w:szCs w:val="32"/>
          <w:bdr w:val="none" w:color="auto" w:sz="0" w:space="0"/>
          <w:shd w:val="clear" w:fill="FFFFFF"/>
          <w:lang w:val="en-US" w:eastAsia="zh-CN" w:bidi="ar"/>
        </w:rPr>
        <w:t>（</w:t>
      </w:r>
      <w:r>
        <w:rPr>
          <w:rFonts w:hint="default" w:ascii="Times New Roman" w:hAnsi="Times New Roman" w:eastAsia="楷体_GB2312" w:cs="Times New Roman"/>
          <w:color w:val="454545"/>
          <w:kern w:val="0"/>
          <w:sz w:val="32"/>
          <w:szCs w:val="32"/>
          <w:bdr w:val="none" w:color="auto" w:sz="0" w:space="0"/>
          <w:shd w:val="clear" w:fill="FFFFFF"/>
          <w:lang w:val="en-US" w:eastAsia="zh-CN" w:bidi="ar"/>
        </w:rPr>
        <w:t>2022</w:t>
      </w:r>
      <w:r>
        <w:rPr>
          <w:rFonts w:hint="default" w:ascii="楷体_GB2312" w:hAnsi="微软雅黑" w:eastAsia="楷体_GB2312" w:cs="楷体_GB2312"/>
          <w:color w:val="454545"/>
          <w:kern w:val="0"/>
          <w:sz w:val="32"/>
          <w:szCs w:val="32"/>
          <w:bdr w:val="none" w:color="auto" w:sz="0" w:space="0"/>
          <w:shd w:val="clear" w:fill="FFFFFF"/>
          <w:lang w:val="en-US" w:eastAsia="zh-CN" w:bidi="ar"/>
        </w:rPr>
        <w:t>年</w:t>
      </w:r>
      <w:r>
        <w:rPr>
          <w:rFonts w:hint="eastAsia" w:ascii="微软雅黑" w:hAnsi="微软雅黑" w:eastAsia="微软雅黑" w:cs="微软雅黑"/>
          <w:color w:val="454545"/>
          <w:kern w:val="0"/>
          <w:sz w:val="32"/>
          <w:szCs w:val="32"/>
          <w:bdr w:val="none" w:color="auto" w:sz="0" w:space="0"/>
          <w:shd w:val="clear" w:fill="FFFFFF"/>
          <w:lang w:val="en-US" w:eastAsia="zh-CN" w:bidi="ar"/>
        </w:rPr>
        <w:t>11</w:t>
      </w:r>
      <w:r>
        <w:rPr>
          <w:rFonts w:hint="default" w:ascii="楷体_GB2312" w:hAnsi="微软雅黑" w:eastAsia="楷体_GB2312" w:cs="楷体_GB2312"/>
          <w:color w:val="454545"/>
          <w:kern w:val="0"/>
          <w:sz w:val="32"/>
          <w:szCs w:val="32"/>
          <w:bdr w:val="none" w:color="auto" w:sz="0" w:space="0"/>
          <w:shd w:val="clear" w:fill="FFFFFF"/>
          <w:lang w:val="en-US" w:eastAsia="zh-CN" w:bidi="ar"/>
        </w:rPr>
        <w:t>月</w:t>
      </w:r>
      <w:r>
        <w:rPr>
          <w:rFonts w:hint="default" w:ascii="Times New Roman" w:hAnsi="Times New Roman" w:eastAsia="楷体_GB2312" w:cs="Times New Roman"/>
          <w:color w:val="454545"/>
          <w:kern w:val="0"/>
          <w:sz w:val="32"/>
          <w:szCs w:val="32"/>
          <w:bdr w:val="none" w:color="auto" w:sz="0" w:space="0"/>
          <w:shd w:val="clear" w:fill="FFFFFF"/>
          <w:lang w:val="en-US" w:eastAsia="zh-CN" w:bidi="ar"/>
        </w:rPr>
        <w:t>18</w:t>
      </w:r>
      <w:r>
        <w:rPr>
          <w:rFonts w:hint="default" w:ascii="楷体_GB2312" w:hAnsi="微软雅黑" w:eastAsia="楷体_GB2312" w:cs="楷体_GB2312"/>
          <w:color w:val="454545"/>
          <w:kern w:val="0"/>
          <w:sz w:val="32"/>
          <w:szCs w:val="32"/>
          <w:bdr w:val="none" w:color="auto" w:sz="0" w:space="0"/>
          <w:shd w:val="clear" w:fill="FFFFFF"/>
          <w:lang w:val="en-US" w:eastAsia="zh-CN" w:bidi="ar"/>
        </w:rPr>
        <w:t>日安徽省第十三届人民代表大会</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leftChars="0" w:right="0" w:firstLine="0" w:firstLineChars="0"/>
        <w:jc w:val="center"/>
      </w:pPr>
      <w:r>
        <w:rPr>
          <w:rFonts w:hint="default" w:ascii="楷体_GB2312" w:hAnsi="微软雅黑" w:eastAsia="楷体_GB2312" w:cs="楷体_GB2312"/>
          <w:color w:val="454545"/>
          <w:sz w:val="32"/>
          <w:szCs w:val="32"/>
          <w:bdr w:val="none" w:color="auto" w:sz="0" w:space="0"/>
          <w:shd w:val="clear" w:fill="FFFFFF"/>
        </w:rPr>
        <w:t>常务委员会第三十八次会议通过）</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center"/>
        <w:textAlignment w:val="baseline"/>
      </w:pPr>
      <w:r>
        <w:rPr>
          <w:rFonts w:hint="default" w:ascii="楷体_GB2312" w:hAnsi="微软雅黑" w:eastAsia="楷体_GB2312" w:cs="楷体_GB2312"/>
          <w:color w:val="454545"/>
          <w:spacing w:val="0"/>
          <w:kern w:val="0"/>
          <w:sz w:val="32"/>
          <w:szCs w:val="32"/>
          <w:bdr w:val="none" w:color="auto" w:sz="0" w:space="0"/>
          <w:shd w:val="clear" w:fill="FFFFFF"/>
          <w:vertAlign w:val="baseline"/>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center"/>
        <w:textAlignment w:val="baseline"/>
      </w:pPr>
      <w:r>
        <w:rPr>
          <w:rFonts w:hint="default" w:ascii="楷体_GB2312" w:hAnsi="微软雅黑" w:eastAsia="楷体_GB2312" w:cs="楷体_GB2312"/>
          <w:color w:val="454545"/>
          <w:spacing w:val="0"/>
          <w:kern w:val="0"/>
          <w:sz w:val="32"/>
          <w:szCs w:val="32"/>
          <w:bdr w:val="none" w:color="auto" w:sz="0" w:space="0"/>
          <w:shd w:val="clear" w:fill="FFFFFF"/>
          <w:vertAlign w:val="baseline"/>
          <w:lang w:val="en-US" w:eastAsia="zh-CN" w:bidi="ar"/>
        </w:rPr>
        <w:t>目    录</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default" w:ascii="楷体_GB2312" w:hAnsi="微软雅黑" w:eastAsia="楷体_GB2312" w:cs="楷体_GB2312"/>
          <w:color w:val="454545"/>
          <w:spacing w:val="0"/>
          <w:kern w:val="0"/>
          <w:sz w:val="32"/>
          <w:szCs w:val="32"/>
          <w:bdr w:val="none" w:color="auto" w:sz="0" w:space="0"/>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default" w:ascii="楷体_GB2312" w:hAnsi="微软雅黑" w:eastAsia="楷体_GB2312" w:cs="楷体_GB2312"/>
          <w:color w:val="454545"/>
          <w:spacing w:val="0"/>
          <w:kern w:val="0"/>
          <w:sz w:val="32"/>
          <w:szCs w:val="32"/>
          <w:bdr w:val="none" w:color="auto" w:sz="0" w:space="0"/>
          <w:shd w:val="clear" w:fill="FFFFFF"/>
          <w:lang w:val="en-US" w:eastAsia="zh-CN" w:bidi="ar"/>
        </w:rPr>
        <w:t>第一章  总    则</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default" w:ascii="楷体_GB2312" w:hAnsi="微软雅黑" w:eastAsia="楷体_GB2312" w:cs="楷体_GB2312"/>
          <w:color w:val="454545"/>
          <w:spacing w:val="0"/>
          <w:kern w:val="0"/>
          <w:sz w:val="32"/>
          <w:szCs w:val="32"/>
          <w:bdr w:val="none" w:color="auto" w:sz="0" w:space="0"/>
          <w:shd w:val="clear" w:fill="FFFFFF"/>
          <w:lang w:val="en-US" w:eastAsia="zh-CN" w:bidi="ar"/>
        </w:rPr>
        <w:t>第二章  风险防控</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default" w:ascii="楷体_GB2312" w:hAnsi="微软雅黑" w:eastAsia="楷体_GB2312" w:cs="楷体_GB2312"/>
          <w:color w:val="454545"/>
          <w:spacing w:val="0"/>
          <w:kern w:val="0"/>
          <w:sz w:val="32"/>
          <w:szCs w:val="32"/>
          <w:bdr w:val="none" w:color="auto" w:sz="0" w:space="0"/>
          <w:shd w:val="clear" w:fill="FFFFFF"/>
          <w:lang w:val="en-US" w:eastAsia="zh-CN" w:bidi="ar"/>
        </w:rPr>
        <w:t>第三章  安全管理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default" w:ascii="楷体_GB2312" w:hAnsi="微软雅黑" w:eastAsia="楷体_GB2312" w:cs="楷体_GB2312"/>
          <w:color w:val="454545"/>
          <w:spacing w:val="0"/>
          <w:kern w:val="0"/>
          <w:sz w:val="32"/>
          <w:szCs w:val="32"/>
          <w:bdr w:val="none" w:color="auto" w:sz="0" w:space="0"/>
          <w:shd w:val="clear" w:fill="FFFFFF"/>
          <w:lang w:val="en-US" w:eastAsia="zh-CN" w:bidi="ar"/>
        </w:rPr>
        <w:t>第四章  事故处理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default" w:ascii="楷体_GB2312" w:hAnsi="微软雅黑" w:eastAsia="楷体_GB2312" w:cs="楷体_GB2312"/>
          <w:color w:val="454545"/>
          <w:spacing w:val="0"/>
          <w:kern w:val="0"/>
          <w:sz w:val="32"/>
          <w:szCs w:val="32"/>
          <w:bdr w:val="none" w:color="auto" w:sz="0" w:space="0"/>
          <w:shd w:val="clear" w:fill="FFFFFF"/>
          <w:lang w:val="en-US" w:eastAsia="zh-CN" w:bidi="ar"/>
        </w:rPr>
        <w:t>第五章  法律责任</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default" w:ascii="楷体_GB2312" w:hAnsi="微软雅黑" w:eastAsia="楷体_GB2312" w:cs="楷体_GB2312"/>
          <w:color w:val="454545"/>
          <w:spacing w:val="0"/>
          <w:kern w:val="0"/>
          <w:sz w:val="32"/>
          <w:szCs w:val="32"/>
          <w:bdr w:val="none" w:color="auto" w:sz="0" w:space="0"/>
          <w:shd w:val="clear" w:fill="FFFFFF"/>
          <w:lang w:val="en-US" w:eastAsia="zh-CN" w:bidi="ar"/>
        </w:rPr>
        <w:t>第六章  附    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left"/>
      </w:pPr>
      <w:r>
        <w:rPr>
          <w:rFonts w:hint="eastAsia" w:ascii="仿宋_GB2312" w:hAnsi="微软雅黑" w:eastAsia="仿宋_GB2312" w:cs="仿宋_GB2312"/>
          <w:color w:val="454545"/>
          <w:spacing w:val="20"/>
          <w:sz w:val="32"/>
          <w:szCs w:val="32"/>
          <w:bdr w:val="none" w:color="auto" w:sz="0" w:space="0"/>
          <w:shd w:val="clear" w:fill="FFFFFF"/>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center"/>
      </w:pPr>
      <w:r>
        <w:rPr>
          <w:rFonts w:ascii="黑体" w:hAnsi="宋体" w:eastAsia="黑体" w:cs="黑体"/>
          <w:color w:val="454545"/>
          <w:kern w:val="0"/>
          <w:sz w:val="32"/>
          <w:szCs w:val="32"/>
          <w:bdr w:val="none" w:color="auto" w:sz="0" w:space="0"/>
          <w:shd w:val="clear" w:fill="FFFFFF"/>
          <w:lang w:val="en-US" w:eastAsia="zh-CN" w:bidi="ar"/>
        </w:rPr>
        <w:t>第一章</w:t>
      </w:r>
      <w:r>
        <w:rPr>
          <w:rFonts w:hint="eastAsia" w:ascii="黑体" w:hAnsi="宋体" w:eastAsia="黑体" w:cs="黑体"/>
          <w:color w:val="454545"/>
          <w:kern w:val="0"/>
          <w:sz w:val="32"/>
          <w:szCs w:val="32"/>
          <w:bdr w:val="none" w:color="auto" w:sz="0" w:space="0"/>
          <w:shd w:val="clear" w:fill="FFFFFF"/>
          <w:lang w:val="en-US" w:eastAsia="zh-CN" w:bidi="ar"/>
        </w:rPr>
        <w:t xml:space="preserve">  总    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left"/>
      </w:pPr>
      <w:r>
        <w:rPr>
          <w:rFonts w:hint="eastAsia" w:ascii="仿宋_GB2312" w:hAnsi="微软雅黑" w:eastAsia="仿宋_GB2312" w:cs="仿宋_GB2312"/>
          <w:color w:val="454545"/>
          <w:spacing w:val="20"/>
          <w:sz w:val="32"/>
          <w:szCs w:val="32"/>
          <w:bdr w:val="none" w:color="auto" w:sz="0" w:space="0"/>
          <w:shd w:val="clear" w:fill="FFFFFF"/>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第一条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为了规范和加强学校安全工作，保障学生和教职工的人身财产安全，维护学校教育教学秩序，根据《中华人民共和国教育法》《中华人民共和国未成年人保护法》和有关法律、行政法规，结合本省实际，制定本条例。</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第二条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本条例适用于本省行政区域内学校安全风险防控、安全管理、事故处理等活动。</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本条例所称学校，包括幼儿园、普通中小学校、职业院校、普通高等学校、成人高等学校和特殊教育学校。</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16" w:firstLineChars="200"/>
        <w:jc w:val="left"/>
      </w:pPr>
      <w:r>
        <w:rPr>
          <w:rFonts w:hint="eastAsia" w:ascii="仿宋_GB2312" w:hAnsi="微软雅黑" w:eastAsia="仿宋_GB2312" w:cs="仿宋_GB2312"/>
          <w:color w:val="454545"/>
          <w:spacing w:val="-6"/>
          <w:kern w:val="0"/>
          <w:sz w:val="32"/>
          <w:szCs w:val="32"/>
          <w:bdr w:val="none" w:color="auto" w:sz="0" w:space="0"/>
          <w:shd w:val="clear" w:fill="FFFFFF"/>
          <w:lang w:val="en-US" w:eastAsia="zh-CN" w:bidi="ar"/>
        </w:rPr>
        <w:t>本条例所称学校安全，包括学生（含幼儿园幼儿）和教职工人身财产安全、校舍和其他设施安全以及学校正常教育教学秩序等。</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第三条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学校安全工作应当坚持党的领导，坚持以人为本、全面防控，坚持政府负责、学校尽责、属地管理、社会协同、综合治理。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第四条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县级以上人民政府应当依法履行学校安全工作职责，将学校安全工作纳入国民经济和社会发展规划，所需经费按照规定列入本级财政预算；建立健全工作机制，统筹解决学校安全工作中的重大问题，保障学校安全。</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乡镇人民政府、街道办事处和开发区管理机构应当依法履行学校安全工作职责。</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村民委员会、居民委员会应当协助乡镇人民政府、街道办事处做好学校安全工作。</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第五条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县级以上人民政府教育行政部门负责本行政区域内学校安全管理工作的统筹协调、指导和监督，其他学校主管部门按照职责做好有关学校的安全管理工作。</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公安、民政、财政、发展改革、司法行政、自然资源、生态环境、住房城乡建设、交通运输、水利、卫生健康、市场监督管理、应急管理、消防救援、气象、地震、网信、文化和旅游、广</w:t>
      </w:r>
      <w:r>
        <w:rPr>
          <w:rFonts w:hint="eastAsia" w:ascii="仿宋_GB2312" w:hAnsi="微软雅黑" w:eastAsia="仿宋_GB2312" w:cs="仿宋_GB2312"/>
          <w:color w:val="454545"/>
          <w:spacing w:val="-6"/>
          <w:kern w:val="0"/>
          <w:sz w:val="32"/>
          <w:szCs w:val="32"/>
          <w:bdr w:val="none" w:color="auto" w:sz="0" w:space="0"/>
          <w:shd w:val="clear" w:fill="FFFFFF"/>
          <w:lang w:val="en-US" w:eastAsia="zh-CN" w:bidi="ar"/>
        </w:rPr>
        <w:t>播电视、城市管理等部门按照各自职责做好学校安全管理相关工作。</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第六条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学校应当履行校园安全管理主体责任，落实校园安全书记、校长（园长）安全工作负责制。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学生和教职工应当遵守法律、法规、规章和学校管理制度，接受学校的安全教育和管理。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学生监护人应当依法履行监护职责，对被监护人进行安全教育和校外安全管理。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第七条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工会、共青团、妇联、残联等人民团体和有关社会组织应当积极参与和支持学校安全工作。</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鼓励、支持企业事业单位和个人参与学校安全工作。</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第八条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任何单位或者个人发现危害学校安全、不利于学生身心健康或者侵犯学生合法权益的行为，有权向教育、公安等部门投诉、举报。接到投诉、举报的部门应当依法及时处理，并对投诉、举报单位和个人信息予以保密；不属于本部门职责的，应当及时移送相关职能部门。</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第九条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各级人民政府及有关部门、新闻媒体应当开展学校安全知识和相关法律法规的宣传，支持播出或者刊发有关公益广告，引导全社会共同关注和支持学校安全工作。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left"/>
      </w:pPr>
      <w:r>
        <w:rPr>
          <w:rFonts w:hint="eastAsia" w:ascii="仿宋_GB2312" w:hAnsi="微软雅黑" w:eastAsia="仿宋_GB2312" w:cs="仿宋_GB2312"/>
          <w:color w:val="454545"/>
          <w:spacing w:val="20"/>
          <w:sz w:val="32"/>
          <w:szCs w:val="32"/>
          <w:bdr w:val="none" w:color="auto" w:sz="0" w:space="0"/>
          <w:shd w:val="clear" w:fill="FFFFFF"/>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center"/>
      </w:pPr>
      <w:r>
        <w:rPr>
          <w:rFonts w:hint="eastAsia" w:ascii="黑体" w:hAnsi="宋体" w:eastAsia="黑体" w:cs="黑体"/>
          <w:color w:val="454545"/>
          <w:kern w:val="0"/>
          <w:sz w:val="32"/>
          <w:szCs w:val="32"/>
          <w:bdr w:val="none" w:color="auto" w:sz="0" w:space="0"/>
          <w:shd w:val="clear" w:fill="FFFFFF"/>
          <w:lang w:val="en-US" w:eastAsia="zh-CN" w:bidi="ar"/>
        </w:rPr>
        <w:t>第二章  风险防控</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第十条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县级以上人民政府应当建立学校安全风险防控体系</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建设协调机制，定期研究和及时解决学校安全风险防控中的突出问题，为学校正常开展教育教学活动和课外实践活动提供支持和保障。</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第十一条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学校建设规划、布局、选址应当执行国家相关标准、规范，对地质灾害以及其他自然灾害、环境污染等因素进行全面评估。</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校建筑应当执行国家建筑抗震有关技术标准、规范，按照不低于重点设防类建筑要求采取抗震设防措施；学校体育场馆应当按照国家防灾避难相关标准建设。校园工程建设、勘察、设计、施工、监理单位依法对校园工程质量终身负责。</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县级以上人民政府及有关部门、学校应当建立健全校舍安全保障长效机制，保证学校的校舍、实验室、场地、教学及生活设施等符合安全质量和标准。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第十二条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县级以上人民政府教育行政部门应当会同公安、住房城乡建设、应急管理等相关部门制定区域性学校安全风险清单，建立动态监测和数据搜集、分析机制，及时向学校提供安全风险提示，指导学校健全风险评估和预防制度。</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县级以上人民政府教育行政部门和其他学校主管部门应当建立台账，定期汇总、分析学校及周边存在的安全风险隐患，确定整改措施和时限；在出现可能影响学校安全的传染病疫情、公共安全事件、自然灾害等风险时，应当立即通报学校，指导学校予以防范。</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学校发现校园周边存在安全风险隐患的，应当立即采取相应措施并向县级以上人民政府教育行政部门和其他学校主管部门及有关部门报告；接到报告的部门应当依法及时处理。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第十三条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在普通中小学校、幼儿园周边实行学生安全区域制度。学生安全区域的范围由设区的市、县级人民政府划定。</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在学生安全区域内，依法禁止新建对环境造成污染的企业、设施，禁止设立存在安全隐患的场所。</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公安机关应当健全日常巡逻防控制度，加强学校周边护学岗建设，落实高峰勤务机制，及时疏导校园周边道路交通；设置交通警示标志，改善交通管理设施，在有条件的学校门口设立接送港湾和即停即走通道。县级以上人民政府市场监督管理、城市管理等部门应当及时制止并依法查处违法经营、占道等行为。</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第十四条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县级以上人民政府教育行政部门、其他学校主管部门、公安机关和学校应当加强协作，健全信息沟通、应急处置等方面的联动机制。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公安机关应当将校园及周边治安纳入社会治安防控体系，按照省有关规定设置警务站或者警务联络室，及时排查校园周边安全隐患。</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公安机关、县级以上人民政府教育行政部门应当将校园视频监控系统、紧急报警装置接入本部门的监控或者报警平台，并与公共安全视频监控联网共享平台对接；建立、完善校园安全网上巡查系统，及时掌握、快速处理学校安全相关问题。</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第十五条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县级以上人民政府卫生健康部门应当加强对学校卫生防疫和卫生保健工作的监督指导，对学校出现的传染病疫情或者学生群体性健康问题，及时指导教育行政部门或者学校采取措施；加强与教育行政部门的协同联动，建立精神卫生医疗机构对学校心理健康教育及心理危机干预的支持协作机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县级以上人民政府市场监督管理部门应当加强对学校食品、药品安全工作的监督检查，保障食品、药品符合相关标准和规范；对学校特种设备实施监督检查；配合教育行政部门加强对学校采购产品的质量监管，在学校建立产品质量安全风险信息监测采集机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县级以上人民政府住房城乡建设部门应当加强对学校工程建设过程的监督管理。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县级以上人民政府交通运输部门应当合理规划城乡公共交通线路和站点，为学生乘车上下学提供方便；依法实施对提供学生集体用车服务的道路运输企业的监督管理。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县级以上人民政府生态环境部门应当加强对学校及周边大气、土壤、水体环境安全的监督管理。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消防救援机构应当对学校遵守消防法律、法规的情况开展监督检查，指导学校落实消防安全责任，消除火灾隐患。</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网信及其他相关部门应当加强对学生网络保护工作的监督检查，依法惩处利用网络从事危害学生身心健康的活动。</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县级以上人民政府应急管理、文化和旅游、广播电视、城市管理以及其他相关部门应当依法对校园周边安全实施监督管理。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第十六条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县级以上人民政府应当组织有关部门、乡镇人民政府、街道办事处开展预防学生溺水综合治理工作。</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县级以上人民政府教育行政部门和学校应当定期开展防溺水警示教育，提高学生防范意识；对留守儿童、特殊家庭学生等重点群体，定期开展家访，督促学生监护人加强防溺水监管。学校应当按照规定将游泳纳入体育课程。</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县级以上人民政府水利、应急管理、公安、住房城乡建设、城市管理等部门应当对本行政区域内易发溺水事故的河、塘、沟、渠、坑和水库、湖泊等危险水域风险隐患进行排查整治，明确水域管辖主体责任；有关责任单位应当完善安全警示标志设置、安全防护设施配备，加强日常巡查值守，妥善做好应急处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第十七条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鼓励采取政府购买服务等方式，购买、使用相关服务或者产品，为学校开展安全教育、安全演练、预防和转移安全风险等工作提供服务。</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第十八条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县级以上人民政府教育行政部门应当健全学校突发事件的报告、处置和部门协调机制，指导学校完善突发事件应急预案。</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学校应当依法制定突发事件应急预案，配备必要的应急处置器材和设备，定期组织学生开展应对地震、火灾、传染病防控、防恐防暴等应急演练。</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第十九条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县级以上人民政府教育行政部门和其他有关学校主管部门应当将安全教育作为校长（园长）、教师培训的内容，并进行考核。</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县级以上人民政府有关部门应当按照职责分工，积极参与学校安全教育，组织开展相关安全防范活动。</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第二十条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学校应当将安全教育纳入教学内容，培养学生的安全意识和技能，提高学生的自我防护和自救互救能力。</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校应当根据不同年龄阶段学生的需要，有针对性地开展防范校园欺凌、暴力、性侵害、溺水、诈骗、拐卖、毒品、邪教、传销、非法贷款等专题教育，普及国家安全、食品药品安全、交通安全、消防安全、防踩踏、网络信息安全、传染病预防、防灾避险等知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学校应当制定教职工安全教育培训计划，组织教职工开展岗位安全教育培训。</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普通中小学校、中等职业学校、特殊教育学校应当依法聘任法治副校长、校外法治辅导员，指导学校开展法治和安全教育。</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第二十一条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学校应当按照规定投保校方责任保险。有条件的学校可以购买校方无过失责任保险以及食品安全、校外实习、体育运动伤害等领域的责任保险。</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鼓励学生家长为学生购买人身意外伤害保险。</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鼓励社会力量依法设立学校安全风险基金或者学生救助基金，建立学生意外伤害救助机制。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left"/>
      </w:pPr>
      <w:r>
        <w:rPr>
          <w:rFonts w:hint="eastAsia" w:ascii="仿宋_GB2312" w:hAnsi="微软雅黑" w:eastAsia="仿宋_GB2312" w:cs="仿宋_GB2312"/>
          <w:color w:val="454545"/>
          <w:spacing w:val="0"/>
          <w:sz w:val="32"/>
          <w:szCs w:val="32"/>
          <w:bdr w:val="none" w:color="auto" w:sz="0" w:space="0"/>
          <w:shd w:val="clear" w:fill="FFFFFF"/>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center"/>
      </w:pPr>
      <w:r>
        <w:rPr>
          <w:rFonts w:hint="eastAsia" w:ascii="黑体" w:hAnsi="宋体" w:eastAsia="黑体" w:cs="黑体"/>
          <w:color w:val="454545"/>
          <w:spacing w:val="0"/>
          <w:kern w:val="0"/>
          <w:sz w:val="32"/>
          <w:szCs w:val="32"/>
          <w:bdr w:val="none" w:color="auto" w:sz="0" w:space="0"/>
          <w:shd w:val="clear" w:fill="FFFFFF"/>
          <w:lang w:val="en-US" w:eastAsia="zh-CN" w:bidi="ar"/>
        </w:rPr>
        <w:t>第三章  安全管理</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left"/>
      </w:pPr>
      <w:r>
        <w:rPr>
          <w:rFonts w:hint="eastAsia" w:ascii="仿宋_GB2312" w:hAnsi="微软雅黑" w:eastAsia="仿宋_GB2312" w:cs="仿宋_GB2312"/>
          <w:color w:val="454545"/>
          <w:spacing w:val="0"/>
          <w:sz w:val="32"/>
          <w:szCs w:val="32"/>
          <w:bdr w:val="none" w:color="auto" w:sz="0" w:space="0"/>
          <w:shd w:val="clear" w:fill="FFFFFF"/>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第二十二条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县级以上人民政府教育行政部门、学校应当按照规定明确承担安全管理工作的机构，配备安全管理工作队伍。学校应当明确班主任、辅导员等教职工岗位安全责任，落实对学生的教育和管理责任。</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设区的市、县级人民政府和学校可以采取购买服务等方式，购买具有相应资质的保安服务公司提供的校园安全保卫服务。</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民办学校应当落实学校安全防范有关规定，民办学校的举办者应当保障学校安全工作所需经费。</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第二十三条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学校应当落实治安保卫制度，对进入校园人员进行查验、登记；校外人员、车辆等未经允许不得进入校园。禁止违反规定携带易燃易爆、有毒有害、管制器具等危险物品和动物进入校园。</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学校应当在学校门口设置硬质防冲撞设施。学校安全保卫人员或安全管理人员应当做好执勤、值班和校内巡查工作。</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学校应当按照有关技术标准和规范建设安全技术防范系统，在校园门口、教学楼等主要区域安装视频图像采集装置，按照规定安装一键式紧急报警装置。有条件的学校应当安装周界报警装置。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普通中小学校、特殊教育学校、幼儿园学生在校期间，校园应当实行封闭化管理。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第二十四条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学校应当对校舍、场地、教学及生活设施等定期组织安全检查；对不符合安全标准或者存在安全隐患的，应当停止使用，设置安全警示标志，并及时加固、维修、改造、更换或者重建。学校的校舍、场地、教学及生活设施等不得违反规定储存易燃易爆、有毒有害等危险物品；不得将场地出租给他人从事危险物品的生产、经营活动。</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学校应当按照规定在校内高地、水池、楼梯等容易发生安全事故的区域设置安全警示标志，并采取防护措施。</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64" w:firstLineChars="200"/>
        <w:jc w:val="left"/>
      </w:pPr>
      <w:r>
        <w:rPr>
          <w:rFonts w:hint="eastAsia" w:ascii="仿宋_GB2312" w:hAnsi="微软雅黑" w:eastAsia="仿宋_GB2312" w:cs="仿宋_GB2312"/>
          <w:color w:val="454545"/>
          <w:spacing w:val="6"/>
          <w:kern w:val="0"/>
          <w:sz w:val="32"/>
          <w:szCs w:val="32"/>
          <w:bdr w:val="none" w:color="auto" w:sz="0" w:space="0"/>
          <w:shd w:val="clear" w:fill="FFFFFF"/>
          <w:lang w:val="en-US" w:eastAsia="zh-CN" w:bidi="ar"/>
        </w:rPr>
        <w:t>学校应当依法加强对压力容器、电梯等特种设备的安全管理。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第二十五条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学校应当建立学生考勤制度，及时将学生无故未按时到校、擅自离校、失去联系等异常情况告知学生监护人，并采取处置措施，必要时向公安机关请求帮助。</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小学、幼儿园应当建立低年级学生和幼儿接送交接制度。监护人或者监护人委托的人不能按时接送的，小学、幼儿园按照规定提供照管服务，不得将低年级学生、幼儿交给其监护人或者监护人委托的人以外的人员。特殊教育学校应当建立学生交接等安全管理制度，做好学生安全防护工作。</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第二十六条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学校应当</w:t>
      </w:r>
      <w:r>
        <w:rPr>
          <w:rFonts w:hint="eastAsia" w:ascii="仿宋_GB2312" w:hAnsi="微软雅黑" w:eastAsia="仿宋_GB2312" w:cs="仿宋_GB2312"/>
          <w:color w:val="454545"/>
          <w:kern w:val="0"/>
          <w:sz w:val="32"/>
          <w:szCs w:val="32"/>
          <w:bdr w:val="none" w:color="auto" w:sz="0" w:space="0"/>
          <w:shd w:val="clear" w:fill="FFFFFF"/>
          <w:lang w:val="en-US" w:eastAsia="zh-CN" w:bidi="ar"/>
        </w:rPr>
        <w:t>建立学生心理健康</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问题源头预防、排查发现、干预处置机制。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校应当按照规定配备或者聘请心理健康教育教师，开设相关课程，设立心理健康辅导室，对学生进行心理健康教育。学校与学生监护人应当加强沟通，共同做好学生心理健康教育。教师应当学习和了解相关的精神卫生知识，关注学生心理健康状况，正确引导、激励学生。</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学校应当定期开展学生心理健康测评筛查，加强学生日常心理健康预警防控。发现有心理困扰或者心理问题的学生，及时给予必要的心理辅导和危机干预。</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生有特异体质、特定疾病或者异常心理状况的，其监护人应当及时告知学校；学校应当给予关注和照顾，并依法保护学生隐私。生理、心理状况异常不宜在校学习的学生，应当按照规定休学，由其监护人安排治疗、休养；特殊教育学校学生按照国家有关规定执行。</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spacing w:val="0"/>
          <w:kern w:val="0"/>
          <w:sz w:val="32"/>
          <w:szCs w:val="32"/>
          <w:bdr w:val="none" w:color="auto" w:sz="0" w:space="0"/>
          <w:shd w:val="clear" w:fill="FFFFFF"/>
          <w:lang w:val="en-US" w:eastAsia="zh-CN" w:bidi="ar"/>
        </w:rPr>
        <w:t>第二十七条</w:t>
      </w: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  学校应当按照国家规定设立校医院或者卫生室，配备具有执业资格的医务人员或者兼职卫生保健教师，购置必需的急救器材和药品，保障对学生常见病的治疗。</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校应当建立传染病防控制度，校园内突发传染病或者发现疑似传染病疫情时，应当立即向有关部门报告，视情采取暂时性隔离、停课等措施，并配合疾病预防控制机构、医疗机构开展流行病学调查和传染病防控。</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学校应当开展卫生健康宣传教育活动，建立学生健康档案，按照规定组织学生定期体检。</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spacing w:val="0"/>
          <w:kern w:val="0"/>
          <w:sz w:val="32"/>
          <w:szCs w:val="32"/>
          <w:bdr w:val="none" w:color="auto" w:sz="0" w:space="0"/>
          <w:shd w:val="clear" w:fill="FFFFFF"/>
          <w:lang w:val="en-US" w:eastAsia="zh-CN" w:bidi="ar"/>
        </w:rPr>
        <w:t>学校生活饮用水及有关公共设施应当符合卫生标准与规范要求。</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第二十八条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学校应当健全食品安全管理制度，确定专人负责，定期开展食品安全隐患排查，按照规定落实校长、老师、家长代表陪餐制。</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学校自办的或者实行承包经营的食堂应当依法取得食品经营许可，执行食堂物资定点采购和索证索票、进货查验、登记留样等制度，保证可追溯；原料贮存、食品加工过程、餐具清洗消毒应当符合卫生要求；从业人员应当依法取得健康证明。</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从供餐单位订餐的学校，应当选择取得食品经营许可、社会信誉良好的供餐单位，依法签订合同，明确双方在食品安全与营养健康方面的权利和义务，并加强监督管理。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供餐单位应当严格遵守法律、法规和食品安全标准，当餐加工，确保食品安全。学校针对供餐单位提供的食品，应当建立查验检验制度，随机进行外观查验和必要检验。</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第二十九条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应当加强校园内道路和通行车辆的交通安全管理，设置交通安全警示牌，合理施划停车泊位，限速行驶。不具备人车分流条件的，除教育教学、应急、第三方服务保障等特殊需要外，禁止机动车辆进入校园。非机动车应当按照规定通行、停放。</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学校应当在容易发生人员拥挤的通道、场所，合理设定通行时间和顺序；在容易发生拥挤的时段，安排专人疏导。</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第三十条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学校和校车服务提供者应当按照国家规定，履行校车安全管理职责，保障乘车人员的人身安全。</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县级以上人民政府应当依法保障有关农村地区接受义务教育的学生获得校车服务。</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学校应当选择具有资质的道路运输企业为学生集体研学、郊游、参观等提供用车服务。</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第三十一条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应当按照规定建立宿舍安全管理制度，明确专人负责住宿学生的生活管理，落实值班、巡查等安全保卫责任，并采用智能门禁等加强宿舍安全管理。学生按照规定在校外租房的，学校应当按照有关规定加强安全教育以及与学生的信息沟通。</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在教职工宿舍居住的人员应当遵守学校安全管理制度。</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第三十二条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学校应当落实消防安全责任制，按照标准配置消防设施和器材并定期检验、维护；设置消防安全疏散标志，保障疏散通道、安全出口和消防车通道畅通；组织防火检查，及时消除火灾隐患。</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学校的建筑、设施等应当符合消防安全标准。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第三十三条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学校应当建立实验室安全管理制度，落实岗位安全责任，规范安全操作流程，加强教学、科研实验中使用的危险化学品、放射性物质、生物活体样本、生物制剂及相关废弃物的安全管理。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第三十四条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学校应当按照规定建立健全防治校园欺凌和暴力行为工作制度。</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学校应当设立学生求助电话和联系人，接到关于学生欺凌报告的，应当立即制止，并按照规定进行调查、认定和处理；必要时，可以由法治副校长、辅导员对学生进行训导、教育。</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对违反治安管理或者涉嫌犯罪等严重欺凌和暴力行为，学校应当及时向公安机关、县级以上人民政府教育行政部门报告，并配合相关部门依法处理，不得隐瞒。</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第三十五条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应当建立预防性侵害、性骚扰工作制度。对实施性侵害、性骚扰的违法犯罪行为，学校应当及时向公安机关、县级以上人民政府教育行政部门或者其他学校主管部门报告，配合相关部门依法处理，不得隐瞒；对遭受性侵害、性骚扰的学生及时采取保护措施，并依法保护学生隐私。</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第三十六条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学校组织学生开展集体劳动、社会实践活动、研学等，应当与学生的生理、心理特点以及认知能力相适应。</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学校组织学生参加大型集体活动，应当制定安全应急预案，成立临时安全管理机构，安排安全管理人员，有针对性地对学生进行安全教育，落实安全保障措施。</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3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学校委托其他单位组织学生集体活动的，应当落实安全管理责任。</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第三十七条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职业院校、普通高等学校等组织学生实习，应当建立学生实习管理岗位责任制，会同实习单位制定安全管理制度。组织学生校外实习，应当进行安全评估，并按照规定与实习单位签订协议，明确学生实习期间的安全管理责任和安全保障、劳动保护措施。</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第三十八条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学校应当执行教职工入职报告和准入查询的相关规定，不得聘用被纳入教育领域从业禁止的人员。</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学校发现教职工患有精神性疾病、传染性疾病或者其他可能</w:t>
      </w:r>
      <w:r>
        <w:rPr>
          <w:rFonts w:hint="eastAsia" w:ascii="仿宋_GB2312" w:hAnsi="微软雅黑" w:eastAsia="仿宋_GB2312" w:cs="仿宋_GB2312"/>
          <w:color w:val="454545"/>
          <w:spacing w:val="6"/>
          <w:kern w:val="0"/>
          <w:sz w:val="32"/>
          <w:szCs w:val="32"/>
          <w:bdr w:val="none" w:color="auto" w:sz="0" w:space="0"/>
          <w:shd w:val="clear" w:fill="FFFFFF"/>
          <w:lang w:val="en-US" w:eastAsia="zh-CN" w:bidi="ar"/>
        </w:rPr>
        <w:t>影响学生身心健康的疾病，应当及时采取调整工作岗位等必要措</w:t>
      </w:r>
      <w:r>
        <w:rPr>
          <w:rFonts w:hint="eastAsia" w:ascii="仿宋_GB2312" w:hAnsi="微软雅黑" w:eastAsia="仿宋_GB2312" w:cs="仿宋_GB2312"/>
          <w:color w:val="454545"/>
          <w:kern w:val="0"/>
          <w:sz w:val="32"/>
          <w:szCs w:val="32"/>
          <w:bdr w:val="none" w:color="auto" w:sz="0" w:space="0"/>
          <w:shd w:val="clear" w:fill="FFFFFF"/>
          <w:lang w:val="en-US" w:eastAsia="zh-CN" w:bidi="ar"/>
        </w:rPr>
        <w:t>施。</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第三十九条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教职工应当遵守职业道德和工作纪律，尊重学生人格，不得歧视学生，不得对学生实施体罚、变相体罚或者其他侮辱人格尊严和侵害人身安全的行为，不得侵犯学生合法权益。</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第四十条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学校应当建立家校联系制度，利用家访、家长课堂、家长会等多种方式向学生监护人介绍学校安全制度，引导其对学生开展安全教育，鼓励学生监护人、家长委员会参与学校安全管理工作。</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left"/>
      </w:pPr>
      <w:r>
        <w:rPr>
          <w:rFonts w:hint="eastAsia" w:ascii="仿宋_GB2312" w:hAnsi="微软雅黑" w:eastAsia="仿宋_GB2312" w:cs="仿宋_GB2312"/>
          <w:color w:val="454545"/>
          <w:spacing w:val="20"/>
          <w:sz w:val="32"/>
          <w:szCs w:val="32"/>
          <w:bdr w:val="none" w:color="auto" w:sz="0" w:space="0"/>
          <w:shd w:val="clear" w:fill="FFFFFF"/>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center"/>
      </w:pPr>
      <w:r>
        <w:rPr>
          <w:rFonts w:hint="eastAsia" w:ascii="黑体" w:hAnsi="宋体" w:eastAsia="黑体" w:cs="黑体"/>
          <w:color w:val="454545"/>
          <w:kern w:val="0"/>
          <w:sz w:val="32"/>
          <w:szCs w:val="32"/>
          <w:bdr w:val="none" w:color="auto" w:sz="0" w:space="0"/>
          <w:shd w:val="clear" w:fill="FFFFFF"/>
          <w:lang w:val="en-US" w:eastAsia="zh-CN" w:bidi="ar"/>
        </w:rPr>
        <w:t>第四章  事故处理</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left"/>
      </w:pPr>
      <w:r>
        <w:rPr>
          <w:rFonts w:hint="eastAsia" w:ascii="仿宋_GB2312" w:hAnsi="微软雅黑" w:eastAsia="仿宋_GB2312" w:cs="仿宋_GB2312"/>
          <w:color w:val="454545"/>
          <w:spacing w:val="20"/>
          <w:sz w:val="32"/>
          <w:szCs w:val="32"/>
          <w:bdr w:val="none" w:color="auto" w:sz="0" w:space="0"/>
          <w:shd w:val="clear" w:fill="FFFFFF"/>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第四十一条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发生安全事故后，应当迅速启动应急预案，及时组织教职工参与抢险、救助和防护，并按照规定立即报告县级以上人民政府教育行政部门或者其他学校主管部门以及负有安全监督管理职责的部门，不得瞒报、谎报或者迟报；接到报告的部门应当及时依法处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第四十二条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学校安全事故造成学生伤害的，学校应当及时救助受伤害学生，并及时通知学生监护人；有条件的，应当采取紧急救援等方式救助。</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学校安全事故发生后，有关单位和个人应当妥善保护事故现场以及相关证据。</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第四十三条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对学校安全事故纠纷，当事人可以通过协商、调解的方式解决，也可以依法提起诉讼。</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协商解决纠纷的，学校应当指定、委托协商代表，或者由法治副校长、法律顾问等专业人员主持或者参与协商。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设区的市、县级人民政府可以根据需要，组织设立学校安全事故人民调解委员会，对协商未果的学校安全事故纠纷进行调解。设区的市、县级人民政府教育行政部门应当会同司法行政部门推进学校安全事故纠纷调解组织建设。</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成年学生或者未成年学生的监护人对学校安全事故纠纷，可以依法直接向人民法院提起诉讼。</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第四十四条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县级以上人民政府教育行政等部门和学校应当做好安全事故信息发布工作，按照规定公布或者通报事故信息，及时澄清虚假新闻和失实报道。</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新闻媒体报道学校安全事故，应当真实、客观、公正，并依法保护个人隐私和其他合法权益。</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第四十五条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发生学校安全事故，学生、学生监护人、其他有关人员应当配合学校和有关部门依法进行调查处理，不得有下列行为：</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（一）侮辱、恐吓、殴打、故意伤害教职工、学生及其监护人、事故调查处理人员或者限制他人人身自由；</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（二）采用堵塞大门、围堵办公场所和道路、拉挂横幅等方式扰乱学校正常教育教学秩序；</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（三）侵占、毁损学校校舍、场地、教学及生活设施或者其他公私财物；</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（四）在网络等媒体散布谣言、传播虚假信息；</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仿宋_GB2312" w:hAnsi="微软雅黑" w:eastAsia="仿宋_GB2312" w:cs="仿宋_GB2312"/>
          <w:color w:val="454545"/>
          <w:kern w:val="0"/>
          <w:sz w:val="32"/>
          <w:szCs w:val="32"/>
          <w:bdr w:val="none" w:color="auto" w:sz="0" w:space="0"/>
          <w:shd w:val="clear" w:fill="FFFFFF"/>
          <w:lang w:val="en-US" w:eastAsia="zh-CN" w:bidi="ar"/>
        </w:rPr>
        <w:t>（五）其他扰乱学校教育教学和管理秩序，干扰事故调查和处理的行为。</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left"/>
      </w:pPr>
      <w:r>
        <w:rPr>
          <w:rFonts w:hint="eastAsia" w:ascii="仿宋_GB2312" w:hAnsi="微软雅黑" w:eastAsia="仿宋_GB2312" w:cs="仿宋_GB2312"/>
          <w:color w:val="454545"/>
          <w:spacing w:val="20"/>
          <w:sz w:val="32"/>
          <w:szCs w:val="32"/>
          <w:bdr w:val="none" w:color="auto" w:sz="0" w:space="0"/>
          <w:shd w:val="clear" w:fill="FFFFFF"/>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center"/>
      </w:pPr>
      <w:r>
        <w:rPr>
          <w:rFonts w:hint="eastAsia" w:ascii="黑体" w:hAnsi="宋体" w:eastAsia="黑体" w:cs="黑体"/>
          <w:color w:val="454545"/>
          <w:kern w:val="0"/>
          <w:sz w:val="32"/>
          <w:szCs w:val="32"/>
          <w:bdr w:val="none" w:color="auto" w:sz="0" w:space="0"/>
          <w:shd w:val="clear" w:fill="FFFFFF"/>
          <w:lang w:val="en-US" w:eastAsia="zh-CN" w:bidi="ar"/>
        </w:rPr>
        <w:t>第五章  法律责任</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left"/>
      </w:pPr>
      <w:r>
        <w:rPr>
          <w:rFonts w:hint="eastAsia" w:ascii="仿宋_GB2312" w:hAnsi="微软雅黑" w:eastAsia="仿宋_GB2312" w:cs="仿宋_GB2312"/>
          <w:color w:val="454545"/>
          <w:spacing w:val="20"/>
          <w:sz w:val="32"/>
          <w:szCs w:val="32"/>
          <w:bdr w:val="none" w:color="auto" w:sz="0" w:space="0"/>
          <w:shd w:val="clear" w:fill="FFFFFF"/>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第四十六条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违反本条例规定，各级人民政府及有关部门未依法履行学校安全监督管理职责的，由上级人民政府或者有关机关责令限期改正；逾期不改正的，予以通报批评；造成学校安全事故且情节严重的，对直接负责的主管人员和其他直接责任人员依法给予处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第四十七条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违反本条例规定，学校未履行安全教育与管理职责，对重大安全隐患未及时采取措施的，由县级以上人民政府教育行政部门、其他学校主管部门或者负有监督管理职责的有关部门责令限期改正；造成学校安全事故且情节严重的，对学校负责人和其他直接责任人员依法给予处分；对民办学校按照民办教育法律法规的有关规定予以处罚。</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第四十八条  </w:t>
      </w:r>
      <w:r>
        <w:rPr>
          <w:rFonts w:hint="eastAsia" w:ascii="仿宋_GB2312" w:hAnsi="微软雅黑" w:eastAsia="仿宋_GB2312" w:cs="仿宋_GB2312"/>
          <w:color w:val="454545"/>
          <w:kern w:val="0"/>
          <w:sz w:val="32"/>
          <w:szCs w:val="32"/>
          <w:bdr w:val="none" w:color="auto" w:sz="0" w:space="0"/>
          <w:shd w:val="clear" w:fill="FFFFFF"/>
          <w:lang w:val="en-US" w:eastAsia="zh-CN" w:bidi="ar"/>
        </w:rPr>
        <w:t>违反本条例规定，学校和供餐单位未落实食品安全相关规定的，由县级以上人民政府市场监督管理等部门责令改正，依法处理。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第四十九条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违反本条例规定，教职工对学生实施体罚、变相体罚或者其他侮辱学生人格尊严和侵害人身安全行为的，由学校给予批评教育；情节严重的，由学校或者县级以上人民政府教育行政部门、其他学校主管部门给予处分或者解聘。</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第五十条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违反本条例规定，学生不遵守所在学校安全管理制度或者实施欺凌、故意伤害等行为的，由学校根据具体情节和危害程度给予批评教育、教育惩戒或者纪律处分。</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第五十一条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违反本条例第四十五条规定，造成人身伤害或者财产损失的，依法承担赔偿责任。</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第五十二条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违反本条例规定的行为，法律、行政法规有行政处罚规定的，从其规定；构成犯罪的，依法追究刑事责任。</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left"/>
      </w:pPr>
      <w:r>
        <w:rPr>
          <w:rFonts w:hint="eastAsia" w:ascii="仿宋_GB2312" w:hAnsi="微软雅黑" w:eastAsia="仿宋_GB2312" w:cs="仿宋_GB2312"/>
          <w:color w:val="454545"/>
          <w:spacing w:val="20"/>
          <w:sz w:val="32"/>
          <w:szCs w:val="32"/>
          <w:bdr w:val="none" w:color="auto" w:sz="0" w:space="0"/>
          <w:shd w:val="clear" w:fill="FFFFFF"/>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center"/>
      </w:pPr>
      <w:r>
        <w:rPr>
          <w:rFonts w:hint="eastAsia" w:ascii="黑体" w:hAnsi="宋体" w:eastAsia="黑体" w:cs="黑体"/>
          <w:color w:val="454545"/>
          <w:kern w:val="0"/>
          <w:sz w:val="32"/>
          <w:szCs w:val="32"/>
          <w:bdr w:val="none" w:color="auto" w:sz="0" w:space="0"/>
          <w:shd w:val="clear" w:fill="FFFFFF"/>
          <w:lang w:val="en-US" w:eastAsia="zh-CN" w:bidi="ar"/>
        </w:rPr>
        <w:t>第六章  附    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left"/>
      </w:pPr>
      <w:r>
        <w:rPr>
          <w:rFonts w:hint="eastAsia" w:ascii="仿宋_GB2312" w:hAnsi="微软雅黑" w:eastAsia="仿宋_GB2312" w:cs="仿宋_GB2312"/>
          <w:color w:val="454545"/>
          <w:spacing w:val="20"/>
          <w:sz w:val="32"/>
          <w:szCs w:val="32"/>
          <w:bdr w:val="none" w:color="auto" w:sz="0" w:space="0"/>
          <w:shd w:val="clear" w:fill="FFFFFF"/>
        </w:rPr>
        <w:t> </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第五十三条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经批准设立的其他教育机构的安全工作，参照本条例执行。</w:t>
      </w:r>
    </w:p>
    <w:p>
      <w:pPr>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firstLine="640" w:firstLineChars="200"/>
        <w:jc w:val="left"/>
      </w:pPr>
      <w:r>
        <w:rPr>
          <w:rFonts w:hint="eastAsia" w:ascii="黑体" w:hAnsi="宋体" w:eastAsia="黑体" w:cs="黑体"/>
          <w:color w:val="454545"/>
          <w:kern w:val="0"/>
          <w:sz w:val="32"/>
          <w:szCs w:val="32"/>
          <w:bdr w:val="none" w:color="auto" w:sz="0" w:space="0"/>
          <w:shd w:val="clear" w:fill="FFFFFF"/>
          <w:lang w:val="en-US" w:eastAsia="zh-CN" w:bidi="ar"/>
        </w:rPr>
        <w:t>第五十四条</w:t>
      </w:r>
      <w:r>
        <w:rPr>
          <w:rFonts w:hint="eastAsia" w:ascii="仿宋_GB2312" w:hAnsi="微软雅黑" w:eastAsia="仿宋_GB2312" w:cs="仿宋_GB2312"/>
          <w:color w:val="454545"/>
          <w:kern w:val="0"/>
          <w:sz w:val="32"/>
          <w:szCs w:val="32"/>
          <w:bdr w:val="none" w:color="auto" w:sz="0" w:space="0"/>
          <w:shd w:val="clear" w:fill="FFFFFF"/>
          <w:lang w:val="en-US" w:eastAsia="zh-CN" w:bidi="ar"/>
        </w:rPr>
        <w:t>  本条例自</w:t>
      </w:r>
      <w:r>
        <w:rPr>
          <w:rFonts w:hint="default" w:ascii="Times New Roman" w:hAnsi="Times New Roman" w:eastAsia="仿宋_GB2312" w:cs="Times New Roman"/>
          <w:color w:val="454545"/>
          <w:kern w:val="0"/>
          <w:sz w:val="32"/>
          <w:szCs w:val="32"/>
          <w:bdr w:val="none" w:color="auto" w:sz="0" w:space="0"/>
          <w:shd w:val="clear" w:fill="FFFFFF"/>
          <w:lang w:val="en-US" w:eastAsia="zh-CN" w:bidi="ar"/>
        </w:rPr>
        <w:t>2023</w:t>
      </w:r>
      <w:r>
        <w:rPr>
          <w:rFonts w:hint="eastAsia" w:ascii="仿宋_GB2312" w:hAnsi="微软雅黑" w:eastAsia="仿宋_GB2312" w:cs="仿宋_GB2312"/>
          <w:color w:val="454545"/>
          <w:kern w:val="0"/>
          <w:sz w:val="32"/>
          <w:szCs w:val="32"/>
          <w:bdr w:val="none" w:color="auto" w:sz="0" w:space="0"/>
          <w:shd w:val="clear" w:fill="FFFFFF"/>
          <w:lang w:val="en-US" w:eastAsia="zh-CN" w:bidi="ar"/>
        </w:rPr>
        <w:t>年</w:t>
      </w:r>
      <w:r>
        <w:rPr>
          <w:rFonts w:hint="default" w:ascii="Times New Roman" w:hAnsi="Times New Roman" w:eastAsia="仿宋_GB2312" w:cs="Times New Roman"/>
          <w:color w:val="454545"/>
          <w:kern w:val="0"/>
          <w:sz w:val="32"/>
          <w:szCs w:val="32"/>
          <w:bdr w:val="none" w:color="auto" w:sz="0" w:space="0"/>
          <w:shd w:val="clear" w:fill="FFFFFF"/>
          <w:lang w:val="en-US" w:eastAsia="zh-CN" w:bidi="ar"/>
        </w:rPr>
        <w:t>1</w:t>
      </w:r>
      <w:r>
        <w:rPr>
          <w:rFonts w:hint="eastAsia" w:ascii="仿宋_GB2312" w:hAnsi="微软雅黑" w:eastAsia="仿宋_GB2312" w:cs="仿宋_GB2312"/>
          <w:color w:val="454545"/>
          <w:kern w:val="0"/>
          <w:sz w:val="32"/>
          <w:szCs w:val="32"/>
          <w:bdr w:val="none" w:color="auto" w:sz="0" w:space="0"/>
          <w:shd w:val="clear" w:fill="FFFFFF"/>
          <w:lang w:val="en-US" w:eastAsia="zh-CN" w:bidi="ar"/>
        </w:rPr>
        <w:t>月</w:t>
      </w:r>
      <w:r>
        <w:rPr>
          <w:rFonts w:hint="default" w:ascii="Times New Roman" w:hAnsi="Times New Roman" w:eastAsia="仿宋_GB2312" w:cs="Times New Roman"/>
          <w:color w:val="454545"/>
          <w:kern w:val="0"/>
          <w:sz w:val="32"/>
          <w:szCs w:val="32"/>
          <w:bdr w:val="none" w:color="auto" w:sz="0" w:space="0"/>
          <w:shd w:val="clear" w:fill="FFFFFF"/>
          <w:lang w:val="en-US" w:eastAsia="zh-CN" w:bidi="ar"/>
        </w:rPr>
        <w:t>1</w:t>
      </w:r>
      <w:r>
        <w:rPr>
          <w:rFonts w:hint="eastAsia" w:ascii="仿宋_GB2312" w:hAnsi="微软雅黑" w:eastAsia="仿宋_GB2312" w:cs="仿宋_GB2312"/>
          <w:color w:val="454545"/>
          <w:kern w:val="0"/>
          <w:sz w:val="32"/>
          <w:szCs w:val="32"/>
          <w:bdr w:val="none" w:color="auto" w:sz="0" w:space="0"/>
          <w:shd w:val="clear" w:fill="FFFFFF"/>
          <w:lang w:val="en-US" w:eastAsia="zh-CN" w:bidi="ar"/>
        </w:rPr>
        <w:t>日起施行。</w:t>
      </w:r>
    </w:p>
    <w:p/>
    <w:sectPr>
      <w:pgSz w:w="11906" w:h="16838"/>
      <w:pgMar w:top="1871" w:right="1474" w:bottom="1587" w:left="1474"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FjZDkxZTNhNDBlMDY0NGJlMWUyNmMzYmU0MjEifQ=="/>
  </w:docVars>
  <w:rsids>
    <w:rsidRoot w:val="00000000"/>
    <w:rsid w:val="0B4276DE"/>
    <w:rsid w:val="458321E8"/>
    <w:rsid w:val="5C9A0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36"/>
      <w:szCs w:val="36"/>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30"/>
      <w:szCs w:val="30"/>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uiPriority w:val="0"/>
    <w:rPr>
      <w:color w:val="454545"/>
      <w:u w:val="none"/>
    </w:rPr>
  </w:style>
  <w:style w:type="character" w:styleId="8">
    <w:name w:val="HTML Definition"/>
    <w:basedOn w:val="6"/>
    <w:uiPriority w:val="0"/>
    <w:rPr>
      <w:i/>
    </w:rPr>
  </w:style>
  <w:style w:type="character" w:styleId="9">
    <w:name w:val="HTML Variable"/>
    <w:basedOn w:val="6"/>
    <w:uiPriority w:val="0"/>
    <w:rPr>
      <w:i/>
    </w:rPr>
  </w:style>
  <w:style w:type="character" w:styleId="10">
    <w:name w:val="Hyperlink"/>
    <w:basedOn w:val="6"/>
    <w:uiPriority w:val="0"/>
    <w:rPr>
      <w:color w:val="454545"/>
      <w:u w:val="none"/>
    </w:rPr>
  </w:style>
  <w:style w:type="character" w:styleId="11">
    <w:name w:val="HTML Code"/>
    <w:basedOn w:val="6"/>
    <w:uiPriority w:val="0"/>
    <w:rPr>
      <w:rFonts w:ascii="Courier New" w:hAnsi="Courier New"/>
      <w:sz w:val="20"/>
    </w:rPr>
  </w:style>
  <w:style w:type="character" w:styleId="12">
    <w:name w:val="HTML Cite"/>
    <w:basedOn w:val="6"/>
    <w:uiPriority w:val="0"/>
    <w:rPr>
      <w:i/>
    </w:rPr>
  </w:style>
  <w:style w:type="character" w:customStyle="1" w:styleId="13">
    <w:name w:val="on1"/>
    <w:basedOn w:val="6"/>
    <w:uiPriority w:val="0"/>
    <w:rPr>
      <w:color w:val="FFFFFF"/>
      <w:sz w:val="18"/>
      <w:szCs w:val="18"/>
    </w:rPr>
  </w:style>
  <w:style w:type="character" w:customStyle="1" w:styleId="14">
    <w:name w:val="on2"/>
    <w:basedOn w:val="6"/>
    <w:uiPriority w:val="0"/>
  </w:style>
  <w:style w:type="character" w:customStyle="1" w:styleId="15">
    <w:name w:val="on3"/>
    <w:basedOn w:val="6"/>
    <w:uiPriority w:val="0"/>
    <w:rPr>
      <w:color w:val="FFFFFF"/>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2022-06-13T02:38:00Z</dcterms:created>
  <dc:creator>Administrator</dc:creator>
  <cp:lastModifiedBy>汪汪</cp:lastModifiedBy>
  <dcterms:modified xsi:type="dcterms:W3CDTF">2023-03-29T07:31:39Z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A01B931E7FDF4892A320D3D2A48C37CF</vt:lpwstr>
  </property>
</Properties>
</file>