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eastAsia="黑体"/>
          <w:bCs/>
          <w:sz w:val="36"/>
          <w:szCs w:val="36"/>
        </w:rPr>
      </w:pPr>
    </w:p>
    <w:p>
      <w:pPr>
        <w:widowControl/>
        <w:jc w:val="center"/>
        <w:rPr>
          <w:rFonts w:ascii="黑体" w:eastAsia="黑体"/>
          <w:bCs/>
          <w:sz w:val="36"/>
          <w:szCs w:val="36"/>
        </w:rPr>
      </w:pPr>
      <w:bookmarkStart w:id="0" w:name="_GoBack"/>
      <w:r>
        <w:rPr>
          <w:rFonts w:hint="eastAsia" w:ascii="黑体" w:eastAsia="黑体"/>
          <w:bCs/>
          <w:sz w:val="36"/>
          <w:szCs w:val="36"/>
        </w:rPr>
        <w:t>关于对相关课程建设类项目进行年度检查验收的通知</w:t>
      </w:r>
      <w:bookmarkEnd w:id="0"/>
    </w:p>
    <w:p>
      <w:pPr>
        <w:widowControl/>
        <w:jc w:val="right"/>
        <w:rPr>
          <w:rFonts w:ascii="黑体" w:eastAsia="黑体"/>
          <w:bCs/>
          <w:sz w:val="36"/>
          <w:szCs w:val="36"/>
        </w:rPr>
      </w:pPr>
      <w:r>
        <w:rPr>
          <w:rStyle w:val="9"/>
          <w:rFonts w:hint="eastAsia" w:eastAsia="楷体_GB2312"/>
          <w:sz w:val="32"/>
          <w:szCs w:val="32"/>
        </w:rPr>
        <w:t>科字</w:t>
      </w:r>
      <w:r>
        <w:rPr>
          <w:rFonts w:ascii="楷体_GB2312" w:eastAsia="楷体_GB2312"/>
          <w:b/>
          <w:sz w:val="32"/>
          <w:szCs w:val="32"/>
        </w:rPr>
        <w:t>〔</w:t>
      </w:r>
      <w:r>
        <w:rPr>
          <w:rFonts w:hint="eastAsia" w:ascii="楷体_GB2312" w:eastAsia="楷体_GB2312"/>
          <w:b/>
          <w:sz w:val="32"/>
          <w:szCs w:val="32"/>
        </w:rPr>
        <w:t>2020</w:t>
      </w:r>
      <w:r>
        <w:rPr>
          <w:rFonts w:ascii="楷体_GB2312" w:eastAsia="楷体_GB2312"/>
          <w:b/>
          <w:sz w:val="32"/>
          <w:szCs w:val="32"/>
        </w:rPr>
        <w:t>〕</w:t>
      </w:r>
      <w:r>
        <w:rPr>
          <w:rFonts w:hint="eastAsia" w:ascii="楷体_GB2312" w:eastAsia="楷体_GB2312"/>
          <w:b/>
          <w:sz w:val="32"/>
          <w:szCs w:val="32"/>
          <w:lang w:val="en-US" w:eastAsia="zh-CN"/>
        </w:rPr>
        <w:t>3</w:t>
      </w:r>
      <w:r>
        <w:rPr>
          <w:rStyle w:val="9"/>
          <w:rFonts w:hint="eastAsia" w:eastAsia="楷体_GB2312"/>
          <w:sz w:val="32"/>
          <w:szCs w:val="32"/>
        </w:rPr>
        <w:t>号</w:t>
      </w:r>
    </w:p>
    <w:p>
      <w:pPr>
        <w:widowControl/>
        <w:spacing w:line="580" w:lineRule="exact"/>
        <w:jc w:val="left"/>
        <w:rPr>
          <w:rFonts w:hint="eastAsia" w:ascii="楷体_GB2312" w:eastAsia="楷体_GB2312"/>
          <w:b/>
          <w:kern w:val="0"/>
          <w:sz w:val="32"/>
          <w:szCs w:val="32"/>
        </w:rPr>
      </w:pPr>
    </w:p>
    <w:p>
      <w:pPr>
        <w:widowControl/>
        <w:spacing w:line="580" w:lineRule="exact"/>
        <w:jc w:val="left"/>
        <w:rPr>
          <w:rFonts w:hint="eastAsia" w:ascii="楷体_GB2312" w:hAnsi="楷体_GB2312"/>
          <w:color w:val="000000"/>
          <w:sz w:val="36"/>
          <w:szCs w:val="36"/>
        </w:rPr>
      </w:pPr>
      <w:r>
        <w:rPr>
          <w:rFonts w:hint="eastAsia" w:ascii="楷体_GB2312" w:eastAsia="楷体_GB2312"/>
          <w:b/>
          <w:kern w:val="0"/>
          <w:sz w:val="32"/>
          <w:szCs w:val="32"/>
        </w:rPr>
        <w:t>各系（部）、处室：</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为加强项目管理，提高</w:t>
      </w:r>
      <w:r>
        <w:rPr>
          <w:rFonts w:hint="eastAsia" w:ascii="仿宋_GB2312" w:eastAsia="仿宋_GB2312"/>
          <w:kern w:val="0"/>
          <w:sz w:val="32"/>
          <w:szCs w:val="32"/>
          <w:lang w:eastAsia="zh-CN"/>
        </w:rPr>
        <w:t>课程建设水平</w:t>
      </w:r>
      <w:r>
        <w:rPr>
          <w:rFonts w:hint="eastAsia" w:ascii="仿宋_GB2312" w:eastAsia="仿宋_GB2312"/>
          <w:kern w:val="0"/>
          <w:sz w:val="32"/>
          <w:szCs w:val="32"/>
        </w:rPr>
        <w:t>，根据</w:t>
      </w:r>
      <w:r>
        <w:rPr>
          <w:rFonts w:hint="eastAsia" w:ascii="仿宋_GB2312" w:eastAsia="仿宋_GB2312"/>
          <w:kern w:val="0"/>
          <w:sz w:val="32"/>
          <w:szCs w:val="32"/>
          <w:lang w:eastAsia="zh-CN"/>
        </w:rPr>
        <w:t>安徽</w:t>
      </w:r>
      <w:r>
        <w:rPr>
          <w:rFonts w:hint="eastAsia" w:ascii="仿宋_GB2312" w:eastAsia="仿宋_GB2312"/>
          <w:kern w:val="0"/>
          <w:sz w:val="32"/>
          <w:szCs w:val="32"/>
        </w:rPr>
        <w:t>省教育厅《关于对高等学校质量工程项目进行年度检查验收的通知》（皖教秘高〔2020〕33号）</w:t>
      </w:r>
      <w:r>
        <w:rPr>
          <w:rFonts w:hint="eastAsia" w:ascii="仿宋_GB2312" w:eastAsia="仿宋_GB2312"/>
          <w:kern w:val="0"/>
          <w:sz w:val="32"/>
          <w:szCs w:val="32"/>
          <w:lang w:eastAsia="zh-CN"/>
        </w:rPr>
        <w:t>、《</w:t>
      </w:r>
      <w:r>
        <w:rPr>
          <w:rFonts w:hint="eastAsia" w:ascii="仿宋_GB2312" w:eastAsia="仿宋_GB2312"/>
          <w:kern w:val="0"/>
          <w:sz w:val="32"/>
          <w:szCs w:val="32"/>
        </w:rPr>
        <w:t>安徽省高校数字图书馆关于对相关课程建设类项目进行年度检查验收的通知</w:t>
      </w:r>
      <w:r>
        <w:rPr>
          <w:rFonts w:hint="eastAsia" w:ascii="仿宋_GB2312" w:eastAsia="仿宋_GB2312"/>
          <w:kern w:val="0"/>
          <w:sz w:val="32"/>
          <w:szCs w:val="32"/>
          <w:lang w:eastAsia="zh-CN"/>
        </w:rPr>
        <w:t>》</w:t>
      </w:r>
      <w:r>
        <w:rPr>
          <w:rFonts w:hint="eastAsia" w:ascii="仿宋_GB2312" w:eastAsia="仿宋_GB2312"/>
          <w:kern w:val="0"/>
          <w:sz w:val="32"/>
          <w:szCs w:val="32"/>
        </w:rPr>
        <w:t>等文件要求，对2019年12月底前到期的</w:t>
      </w:r>
      <w:r>
        <w:rPr>
          <w:rFonts w:hint="eastAsia" w:ascii="仿宋_GB2312" w:eastAsia="仿宋_GB2312" w:hAnsiTheme="minorHAnsi" w:cstheme="minorBidi"/>
          <w:kern w:val="0"/>
          <w:sz w:val="32"/>
          <w:szCs w:val="32"/>
          <w:lang w:val="en-US" w:eastAsia="zh-CN" w:bidi="ar-SA"/>
        </w:rPr>
        <w:t>省级质量工程</w:t>
      </w:r>
      <w:r>
        <w:rPr>
          <w:rFonts w:hint="eastAsia" w:ascii="仿宋_GB2312" w:eastAsia="仿宋_GB2312" w:cstheme="minorBidi"/>
          <w:kern w:val="0"/>
          <w:sz w:val="32"/>
          <w:szCs w:val="32"/>
          <w:lang w:val="en-US" w:eastAsia="zh-CN" w:bidi="ar-SA"/>
        </w:rPr>
        <w:t>及创新行动计划</w:t>
      </w:r>
      <w:r>
        <w:rPr>
          <w:rFonts w:hint="eastAsia" w:ascii="仿宋_GB2312" w:eastAsia="仿宋_GB2312" w:hAnsiTheme="minorHAnsi" w:cstheme="minorBidi"/>
          <w:kern w:val="0"/>
          <w:sz w:val="32"/>
          <w:szCs w:val="32"/>
          <w:lang w:val="en-US" w:eastAsia="zh-CN" w:bidi="ar-SA"/>
        </w:rPr>
        <w:t>课程建设类项目</w:t>
      </w:r>
      <w:r>
        <w:rPr>
          <w:rFonts w:hint="eastAsia" w:ascii="仿宋_GB2312" w:eastAsia="仿宋_GB2312"/>
          <w:kern w:val="0"/>
          <w:sz w:val="32"/>
          <w:szCs w:val="32"/>
        </w:rPr>
        <w:t>进行检查验收。具体事项通知如下：</w:t>
      </w:r>
    </w:p>
    <w:p>
      <w:pPr>
        <w:widowControl/>
        <w:spacing w:line="58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一、检查验收范围</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 2013年以来立项且未结题的省级质量工程课程建设类项目（包括大规模在线开放课程（MOOC）、精品资源共享课程、精品视频公开课、智慧课堂（试点）、精品线下开放课程、虚拟仿真实验教学项目等）。</w:t>
      </w:r>
    </w:p>
    <w:p>
      <w:pPr>
        <w:widowControl/>
        <w:spacing w:line="580" w:lineRule="exact"/>
        <w:ind w:firstLine="640" w:firstLineChars="200"/>
        <w:jc w:val="left"/>
        <w:rPr>
          <w:rFonts w:hint="eastAsia" w:ascii="仿宋_GB2312" w:eastAsia="仿宋_GB2312"/>
          <w:kern w:val="0"/>
          <w:sz w:val="32"/>
          <w:szCs w:val="32"/>
          <w:lang w:eastAsia="zh-CN"/>
        </w:rPr>
      </w:pPr>
      <w:r>
        <w:rPr>
          <w:rFonts w:hint="eastAsia" w:ascii="仿宋_GB2312" w:eastAsia="仿宋_GB2312"/>
          <w:kern w:val="0"/>
          <w:sz w:val="32"/>
          <w:szCs w:val="32"/>
        </w:rPr>
        <w:t>2.《安徽省教育厅关于公布&lt;高等职业教育创新发展行动计划（2015-2018年）&gt;任务（项目）承接单位的通知》【皖教秘高〔2016〕127号】中项目类别为XM-06、XM-07的课程类项目</w:t>
      </w:r>
      <w:r>
        <w:rPr>
          <w:rFonts w:hint="eastAsia" w:ascii="仿宋_GB2312" w:eastAsia="仿宋_GB2312"/>
          <w:kern w:val="0"/>
          <w:sz w:val="32"/>
          <w:szCs w:val="32"/>
          <w:lang w:eastAsia="zh-CN"/>
        </w:rPr>
        <w:t>。</w:t>
      </w:r>
    </w:p>
    <w:p>
      <w:pPr>
        <w:widowControl/>
        <w:spacing w:line="58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二、检查验收的主要内容</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检查形式分为阶段检查和结题验收两大类。各类项目具体要求如下：</w:t>
      </w:r>
    </w:p>
    <w:p>
      <w:pPr>
        <w:widowControl/>
        <w:spacing w:line="58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(一）大规模在线开放课程（MOOC）示范项目</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1.项目检查分类</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2014年度延期项目和2015、2016、2017年度立项项目进行结题验收；2018年度立项项目进行阶段检查。</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2.检查验收方式</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安徽省网络课程学习中心组织专家进行线上评审。</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3.结题验收主要内容</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项目结题验收以课程应用为导向，必须在安徽省网络课程学习中心平台（e会学）或者国内外主流网络课程平台上线运营。</w:t>
      </w:r>
    </w:p>
    <w:p>
      <w:pPr>
        <w:widowControl/>
        <w:spacing w:line="580" w:lineRule="exact"/>
        <w:ind w:firstLine="643" w:firstLineChars="200"/>
        <w:jc w:val="left"/>
        <w:rPr>
          <w:rFonts w:hint="eastAsia" w:ascii="仿宋_GB2312" w:eastAsia="仿宋_GB2312"/>
          <w:kern w:val="0"/>
          <w:sz w:val="32"/>
          <w:szCs w:val="32"/>
        </w:rPr>
      </w:pPr>
      <w:r>
        <w:rPr>
          <w:rFonts w:hint="eastAsia" w:ascii="仿宋_GB2312" w:eastAsia="仿宋_GB2312"/>
          <w:b/>
          <w:bCs/>
          <w:kern w:val="0"/>
          <w:sz w:val="32"/>
          <w:szCs w:val="32"/>
        </w:rPr>
        <w:t>结题验收标准如下：</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 满足以下条件之一可以评为“优秀”：</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a) 已入选国家精品在线开放课程的项目；</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b) 已入选2017-2019年度安徽省推荐申报国家精品在线开放课程的项目；</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c) 已入选2017-2019年度省内教育部直属高校（合肥工业大学）或其他中央部门（单位）所属高校（中国科学技术大学）推荐申报国家精品在线开放课程的项目。</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 满足以下条件可以评为“良好”：</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符合省级质量工程MOOC示范项目结题验收审核标准（指各项指标均满足“安徽省精品在线开放课程结题验收标准（2018版）”要求）且上线运营成果显著的项目；</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 满足以下条件可以评为“合格”：</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基本符合省级质量工程MOOC示范项目结题验收审核标准（指至少学习总人次、视频时长、教学周期数三项指标满足“安徽省精品在线开放课程结题验收标准（2018版）”要求）的项目；</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4) 不满足以上3点要求的项目可以申请延期一年；对于申请结题验收但不符合以上3点要求的项目将视为延期一年。</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5) 2014年度已延期项目如果仍未达到前3条验收标准，将视为“撤项”。</w:t>
      </w:r>
    </w:p>
    <w:p>
      <w:pPr>
        <w:widowControl/>
        <w:spacing w:line="58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结题验收材料要求：</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1）项目结题报告；</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课程数据信息表》（附件1）（需加盖平台公章；如在安徽省网络课程学习中心平台（e会学）开设且完成2个完整教学周期的课程无需提供，将由平台统一公示课程运营情况；如在不同平台开课可按平台分别提供；符合“优秀”标准的课程无需提供）；</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3）申请延期的项目提交延期报告。</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4.阶段检查主要内容</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阶段检查以督促项目建设及运营为目的，具体检查标准如下：</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 已完成全部课程拍摄并在相关平台开课的项目评为“优秀”；</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 已完成部分课程拍摄并上线运营项目评为“合格”；</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 不符合以上2点要求的评为“建议整改”。</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阶段检查材料要求：</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 项目进展报告</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 课程上线说明表（附件2）（需加盖平台公章；如在安徽省网络课程学习中心平台（e会学）上线的课程无需提供，将由平台统一公示课程上线情况）</w:t>
      </w:r>
    </w:p>
    <w:p>
      <w:pPr>
        <w:widowControl/>
        <w:spacing w:line="58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（二）精品资源共享课程、精品视频公开课、智慧课堂（试点）项目</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1.项目检查分类</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2013-2017年度立项且未结项的精品资源共享课程、精品视频公开课进行结题验收；2017年度立项且未结项的智慧课堂试点项目进行结题验收，2018年立项的智慧课堂项目进行阶段检查。</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2.检查验收方式</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委托各高校按照要求组织检查验收，安徽省网络课程学习中心组织专家对学校检查验收的结果进行认定。</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3.检查验收主要内容</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各校结题验收按照立项当年申报指南中的要求，对照项目任务书，根据完成情况分别给予“优秀”、“良好”、“合格”、“同意延期”等自查结论。</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2018年立项的智慧课堂项目此次进行阶段检查，各校根据完成情况分别给予“优秀”、“良好”“合格”、“建议整改”等自查结论。结题验收将于2021年进行，标准按照2018年申报指南中明确的结题验收要求执行。</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4.材料要求</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项目结题报告或者进展报告；申请延期的项目提交延期报告。</w:t>
      </w:r>
    </w:p>
    <w:p>
      <w:pPr>
        <w:widowControl/>
        <w:spacing w:line="58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（三）精品线下开放课程</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1.项目检查分类</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2018年度立项的项目进行阶段检查。 </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2.检查验收方式</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安徽省网络课程学习中心组织专家进行线上评审。</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 阶段检查主要内容</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精品线下开放课程对照国家线上线下混合式一流课程进行建设，强调利用开放式课程教育平台优质课程资源及学校自建资源，及校级网络教学平台及智慧教学工具，实施翻转课堂教学、提高教育质量。</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项目鼓励教师利用以国家级、省级精品资源共享课程资源，鼓励高校和企业共同开发建设体现科技进步、社会生产与职业需求的微视频；依托网络平台，利用视频资源开展翻转课堂；线上学习数据，包括学生利用网络教学平台学习各种课程相关资源数据；线下互动数据，利用智慧教学工具，记录课堂教学过程中互动教学数据，包括签到、讨论等。</w:t>
      </w:r>
    </w:p>
    <w:p>
      <w:pPr>
        <w:widowControl/>
        <w:spacing w:line="58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阶段检查标准如下：</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 已开展线上学习并实施翻转课堂教学的项目评为“优秀”；</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 已开展线上学习但未实施线下互动教学或者未开展线上学习但已实施线下互动教学的项目评为“合格”；</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 不符合以上2点要求的评为“建议整改”</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4. 阶段检查材料要求：</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 项目进展报告</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 课程基本信息表（附件3）（需学校教务处盖章）</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2018年度精品线下开放课程项目结题验收标准在当年申报指南中已明确，将在2021年度进行结题验收，请各课程负责人提前做好安排。</w:t>
      </w:r>
    </w:p>
    <w:p>
      <w:pPr>
        <w:widowControl/>
        <w:spacing w:line="58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（四）高等职业教育创新发展行动计划（2015-2018年）课程类项目</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1.项目检查分类</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针对《安徽省教育厅关于公布&lt;高等职业教育创新发展行动计划（2015-2018年）&gt;任务（项目）承接单位的通知》【皖教秘高〔2016〕127号】中项目类别为XM-06、XM-07的课程类项目进行结题验收。</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2.检查验收方式</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安徽省网络课程学习中心组织专家进行线上评审。</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3.结题验收主要内容</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4月24日前各有关高校将需结题验收的项目在“安徽省高等学校质量工程项目管理信息系统”中申报，之后按期提交相关材料。</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结题验收将对照项目具体方案和实际建设成效，对项目的建设结果进行检查认定。根据专家网络评审结果给予“优秀”“良好”、“合格”、“建议延期”等。</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4.结题验收材料要求</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项目结题报告；申请延期的项目提交延期报告。</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三、时间安排与材料报送</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2020年4月27日至5月15日，各</w:t>
      </w:r>
      <w:r>
        <w:rPr>
          <w:rFonts w:hint="eastAsia" w:ascii="仿宋_GB2312" w:eastAsia="仿宋_GB2312"/>
          <w:kern w:val="0"/>
          <w:sz w:val="32"/>
          <w:szCs w:val="32"/>
          <w:lang w:eastAsia="zh-CN"/>
        </w:rPr>
        <w:t>项目负责人</w:t>
      </w:r>
      <w:r>
        <w:rPr>
          <w:rFonts w:hint="eastAsia" w:ascii="仿宋_GB2312" w:eastAsia="仿宋_GB2312"/>
          <w:kern w:val="0"/>
          <w:sz w:val="32"/>
          <w:szCs w:val="32"/>
        </w:rPr>
        <w:t>登录安徽省教育厅高教处网站（</w:t>
      </w:r>
      <w:r>
        <w:rPr>
          <w:rFonts w:hint="default" w:ascii="Times New Roman" w:hAnsi="Times New Roman" w:eastAsia="仿宋_GB2312" w:cs="Times New Roman"/>
          <w:kern w:val="0"/>
          <w:sz w:val="32"/>
          <w:szCs w:val="32"/>
        </w:rPr>
        <w:t>http://jyt.ah.gov.cn/gaojiaochu</w:t>
      </w:r>
      <w:r>
        <w:rPr>
          <w:rFonts w:hint="eastAsia" w:ascii="仿宋_GB2312" w:eastAsia="仿宋_GB2312"/>
          <w:kern w:val="0"/>
          <w:sz w:val="32"/>
          <w:szCs w:val="32"/>
        </w:rPr>
        <w:t>），把课程建设类项目检查验收材料上传到“安徽省高等学校质量工程项目管理信息系统”（</w:t>
      </w:r>
      <w:r>
        <w:rPr>
          <w:rFonts w:hint="eastAsia" w:ascii="Times New Roman" w:hAnsi="Times New Roman" w:eastAsia="仿宋_GB2312" w:cs="Times New Roman"/>
          <w:kern w:val="0"/>
          <w:sz w:val="32"/>
          <w:szCs w:val="32"/>
        </w:rPr>
        <w:t>http://202.38.95.115/QRMIS</w:t>
      </w:r>
      <w:r>
        <w:rPr>
          <w:rFonts w:hint="eastAsia" w:ascii="仿宋_GB2312" w:eastAsia="仿宋_GB2312"/>
          <w:kern w:val="0"/>
          <w:sz w:val="32"/>
          <w:szCs w:val="32"/>
        </w:rPr>
        <w:t>），课程建设类项目的进展报告、结题报告、延期报告模板见《安徽省教育厅关于对高等学校质量工程项目进行年度检查验收的通知》【皖教秘高〔2020〕33号】要求，其他材料模板见附件。</w:t>
      </w:r>
      <w:r>
        <w:rPr>
          <w:rFonts w:hint="eastAsia" w:ascii="仿宋_GB2312" w:eastAsia="仿宋_GB2312"/>
          <w:b w:val="0"/>
          <w:bCs w:val="0"/>
          <w:kern w:val="0"/>
          <w:sz w:val="32"/>
          <w:szCs w:val="32"/>
        </w:rPr>
        <w:t>所有材料请按照要求盖章后扫描为PDF版上传。</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四、相关要求</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w:t>
      </w:r>
      <w:r>
        <w:rPr>
          <w:rFonts w:hint="eastAsia" w:ascii="仿宋_GB2312" w:eastAsia="仿宋_GB2312"/>
          <w:b/>
          <w:bCs/>
          <w:kern w:val="0"/>
          <w:sz w:val="32"/>
          <w:szCs w:val="32"/>
        </w:rPr>
        <w:t>精品资源共享课程、精品视频公开课、智慧课堂（试点）项目由各高校按照要求组织专家检查验收</w:t>
      </w:r>
      <w:r>
        <w:rPr>
          <w:rFonts w:hint="eastAsia" w:ascii="仿宋_GB2312" w:eastAsia="仿宋_GB2312"/>
          <w:b/>
          <w:bCs/>
          <w:kern w:val="0"/>
          <w:sz w:val="32"/>
          <w:szCs w:val="32"/>
          <w:lang w:eastAsia="zh-CN"/>
        </w:rPr>
        <w:t>，请各课程负责人</w:t>
      </w:r>
      <w:r>
        <w:rPr>
          <w:rFonts w:hint="eastAsia" w:ascii="仿宋_GB2312" w:eastAsia="仿宋_GB2312"/>
          <w:b/>
          <w:bCs/>
          <w:kern w:val="0"/>
          <w:sz w:val="32"/>
          <w:szCs w:val="32"/>
          <w:lang w:val="en-US" w:eastAsia="zh-CN"/>
        </w:rPr>
        <w:t>4月21前向科研办提交结题报告及支撑材料电子版</w:t>
      </w:r>
      <w:r>
        <w:rPr>
          <w:rFonts w:hint="eastAsia" w:ascii="仿宋_GB2312" w:eastAsia="仿宋_GB2312"/>
          <w:b/>
          <w:bCs/>
          <w:kern w:val="0"/>
          <w:sz w:val="32"/>
          <w:szCs w:val="32"/>
        </w:rPr>
        <w:t>。其他课程建设类项目</w:t>
      </w:r>
      <w:r>
        <w:rPr>
          <w:rFonts w:hint="eastAsia" w:ascii="仿宋_GB2312" w:eastAsia="仿宋_GB2312"/>
          <w:b/>
          <w:bCs/>
          <w:kern w:val="0"/>
          <w:sz w:val="32"/>
          <w:szCs w:val="32"/>
          <w:lang w:eastAsia="zh-CN"/>
        </w:rPr>
        <w:t>（</w:t>
      </w:r>
      <w:r>
        <w:rPr>
          <w:rFonts w:hint="eastAsia" w:ascii="仿宋_GB2312" w:eastAsia="仿宋_GB2312"/>
          <w:b/>
          <w:bCs/>
          <w:kern w:val="0"/>
          <w:sz w:val="32"/>
          <w:szCs w:val="32"/>
          <w:lang w:val="en-US" w:eastAsia="zh-CN"/>
        </w:rPr>
        <w:t>MOOC、精品线下开放课程、创新发展行动计划精品在线开放课程</w:t>
      </w:r>
      <w:r>
        <w:rPr>
          <w:rFonts w:hint="eastAsia" w:ascii="仿宋_GB2312" w:eastAsia="仿宋_GB2312"/>
          <w:b/>
          <w:bCs/>
          <w:kern w:val="0"/>
          <w:sz w:val="32"/>
          <w:szCs w:val="32"/>
          <w:lang w:eastAsia="zh-CN"/>
        </w:rPr>
        <w:t>）</w:t>
      </w:r>
      <w:r>
        <w:rPr>
          <w:rFonts w:hint="eastAsia" w:ascii="仿宋_GB2312" w:eastAsia="仿宋_GB2312"/>
          <w:b/>
          <w:bCs/>
          <w:kern w:val="0"/>
          <w:sz w:val="32"/>
          <w:szCs w:val="32"/>
        </w:rPr>
        <w:t>，</w:t>
      </w:r>
      <w:r>
        <w:rPr>
          <w:rFonts w:hint="eastAsia" w:ascii="仿宋_GB2312" w:eastAsia="仿宋_GB2312"/>
          <w:b/>
          <w:bCs/>
          <w:kern w:val="0"/>
          <w:sz w:val="32"/>
          <w:szCs w:val="32"/>
          <w:lang w:val="en-US" w:eastAsia="zh-CN"/>
        </w:rPr>
        <w:t>4月30日前</w:t>
      </w:r>
      <w:r>
        <w:rPr>
          <w:rFonts w:hint="eastAsia" w:ascii="仿宋_GB2312" w:eastAsia="仿宋_GB2312"/>
          <w:b/>
          <w:bCs/>
          <w:kern w:val="0"/>
          <w:sz w:val="32"/>
          <w:szCs w:val="32"/>
        </w:rPr>
        <w:t>登录安徽省教育厅高教处网站（</w:t>
      </w:r>
      <w:r>
        <w:rPr>
          <w:rFonts w:hint="default" w:ascii="Times New Roman" w:hAnsi="Times New Roman" w:eastAsia="仿宋_GB2312" w:cs="Times New Roman"/>
          <w:b/>
          <w:bCs/>
          <w:kern w:val="0"/>
          <w:sz w:val="32"/>
          <w:szCs w:val="32"/>
        </w:rPr>
        <w:t>http://jyt.ah.gov.cn/gaojiaochu</w:t>
      </w:r>
      <w:r>
        <w:rPr>
          <w:rFonts w:hint="eastAsia" w:ascii="仿宋_GB2312" w:eastAsia="仿宋_GB2312"/>
          <w:b/>
          <w:bCs/>
          <w:kern w:val="0"/>
          <w:sz w:val="32"/>
          <w:szCs w:val="32"/>
        </w:rPr>
        <w:t>），把课程建设类项目检查验收材料上传到“安徽省高等学校质量工程项目管理信息系统”（</w:t>
      </w:r>
      <w:r>
        <w:rPr>
          <w:rFonts w:hint="eastAsia" w:ascii="Times New Roman" w:hAnsi="Times New Roman" w:eastAsia="仿宋_GB2312" w:cs="Times New Roman"/>
          <w:b/>
          <w:bCs/>
          <w:kern w:val="0"/>
          <w:sz w:val="32"/>
          <w:szCs w:val="32"/>
        </w:rPr>
        <w:t>http://202.38.95.115/QRMIS</w:t>
      </w:r>
      <w:r>
        <w:rPr>
          <w:rFonts w:hint="eastAsia" w:ascii="仿宋_GB2312" w:eastAsia="仿宋_GB2312"/>
          <w:b/>
          <w:bCs/>
          <w:kern w:val="0"/>
          <w:sz w:val="32"/>
          <w:szCs w:val="32"/>
        </w:rPr>
        <w:t>），</w:t>
      </w:r>
      <w:r>
        <w:rPr>
          <w:rFonts w:hint="eastAsia" w:ascii="仿宋_GB2312" w:eastAsia="仿宋_GB2312"/>
          <w:kern w:val="0"/>
          <w:sz w:val="32"/>
          <w:szCs w:val="32"/>
        </w:rPr>
        <w:t>各高校需给出学校审核意见及盖章，可不再组织专家检查验收，</w:t>
      </w:r>
      <w:r>
        <w:rPr>
          <w:rFonts w:hint="eastAsia" w:ascii="仿宋_GB2312" w:eastAsia="仿宋_GB2312"/>
          <w:b/>
          <w:bCs/>
          <w:kern w:val="0"/>
          <w:sz w:val="32"/>
          <w:szCs w:val="32"/>
        </w:rPr>
        <w:t>由安徽省网络课程学习中心另行组织专家进行线上评审</w:t>
      </w:r>
      <w:r>
        <w:rPr>
          <w:rFonts w:hint="eastAsia" w:ascii="仿宋_GB2312" w:eastAsia="仿宋_GB2312"/>
          <w:kern w:val="0"/>
          <w:sz w:val="32"/>
          <w:szCs w:val="32"/>
        </w:rPr>
        <w:t>。在疫情防控期间，采用线上评审方式。</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2）质量工程MOOC示范项目自2016年度起建设周期均为2年，其中项目建设期1年，此期间必须完成MOOC课程制作并上线；课程运营期1年，此期间必须将MOOC课程应用于实际教学。精品线下开放课程建设周期为2年，其中项目建设期1年，课程运营期1年。</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3）项目负责人要根据项目进展情况，认真填写项目进展或结题报告书，如实反映项目建设成果。所有项目检查验收应以建设任务书（省级项目申报指南）作为项目执行、过程检查和验收的主要依据。报告中数据应准确无误，典型事例应真实具体，文字材料应言简意赅。</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五、联系方式</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安徽省高校数字图书馆联系人：张雪娟</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联系电话：0551-63602330-603，15156075118</w:t>
      </w:r>
    </w:p>
    <w:p>
      <w:pPr>
        <w:widowControl/>
        <w:spacing w:line="580" w:lineRule="exact"/>
        <w:ind w:firstLine="640" w:firstLineChars="200"/>
        <w:jc w:val="left"/>
        <w:rPr>
          <w:rFonts w:ascii="仿宋_GB2312" w:hAnsi="宋体" w:eastAsia="仿宋_GB2312" w:cs="宋体"/>
          <w:bCs/>
          <w:kern w:val="0"/>
          <w:sz w:val="32"/>
          <w:szCs w:val="32"/>
        </w:rPr>
      </w:pPr>
    </w:p>
    <w:p>
      <w:pPr>
        <w:widowControl/>
        <w:spacing w:line="580" w:lineRule="exact"/>
        <w:ind w:firstLine="480" w:firstLineChars="200"/>
        <w:jc w:val="left"/>
        <w:rPr>
          <w:rFonts w:ascii="仿宋_GB2312" w:eastAsia="仿宋_GB2312"/>
          <w:kern w:val="0"/>
          <w:sz w:val="32"/>
          <w:szCs w:val="32"/>
        </w:rPr>
      </w:pPr>
      <w:r>
        <w:rPr>
          <w:rFonts w:hint="eastAsia" w:ascii="宋体" w:hAnsi="宋体"/>
          <w:color w:val="000000"/>
          <w:kern w:val="0"/>
          <w:sz w:val="24"/>
          <w:szCs w:val="24"/>
        </w:rPr>
        <w:t xml:space="preserve">                                     </w:t>
      </w:r>
      <w:r>
        <w:rPr>
          <w:rFonts w:hint="eastAsia" w:ascii="仿宋_GB2312" w:eastAsia="仿宋_GB2312"/>
          <w:kern w:val="0"/>
          <w:sz w:val="32"/>
          <w:szCs w:val="32"/>
        </w:rPr>
        <w:t xml:space="preserve">              科研办</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 xml:space="preserve">                               2020年</w:t>
      </w:r>
      <w:r>
        <w:rPr>
          <w:rFonts w:hint="eastAsia" w:ascii="仿宋_GB2312" w:eastAsia="仿宋_GB2312"/>
          <w:kern w:val="0"/>
          <w:sz w:val="32"/>
          <w:szCs w:val="32"/>
          <w:lang w:val="en-US" w:eastAsia="zh-CN"/>
        </w:rPr>
        <w:t>4</w:t>
      </w:r>
      <w:r>
        <w:rPr>
          <w:rFonts w:hint="eastAsia" w:ascii="仿宋_GB2312" w:eastAsia="仿宋_GB2312"/>
          <w:kern w:val="0"/>
          <w:sz w:val="32"/>
          <w:szCs w:val="32"/>
        </w:rPr>
        <w:t>月20日</w:t>
      </w: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附件1</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kern w:val="0"/>
          <w:sz w:val="24"/>
          <w:shd w:val="clear" w:color="auto" w:fill="FFFFFF"/>
        </w:rPr>
      </w:pPr>
      <w:r>
        <w:rPr>
          <w:rFonts w:hint="eastAsia" w:ascii="仿宋_GB2312" w:hAnsi="宋体" w:eastAsia="仿宋_GB2312" w:cs="宋体"/>
          <w:b/>
          <w:kern w:val="0"/>
          <w:sz w:val="32"/>
          <w:szCs w:val="32"/>
          <w:shd w:val="clear" w:color="auto" w:fill="FFFFFF"/>
          <w:lang w:eastAsia="zh-CN"/>
        </w:rPr>
        <w:t>省级质量工程</w:t>
      </w:r>
      <w:r>
        <w:rPr>
          <w:rFonts w:hint="eastAsia" w:ascii="仿宋_GB2312" w:hAnsi="宋体" w:eastAsia="仿宋_GB2312" w:cs="宋体"/>
          <w:b/>
          <w:kern w:val="0"/>
          <w:sz w:val="32"/>
          <w:szCs w:val="32"/>
          <w:shd w:val="clear" w:color="auto" w:fill="FFFFFF"/>
        </w:rPr>
        <w:t>课程建设类项目结题验收一览表</w:t>
      </w:r>
    </w:p>
    <w:tbl>
      <w:tblPr>
        <w:tblStyle w:val="7"/>
        <w:tblW w:w="8830" w:type="dxa"/>
        <w:tblInd w:w="0" w:type="dxa"/>
        <w:tblLayout w:type="fixed"/>
        <w:tblCellMar>
          <w:top w:w="0" w:type="dxa"/>
          <w:left w:w="108" w:type="dxa"/>
          <w:bottom w:w="0" w:type="dxa"/>
          <w:right w:w="108" w:type="dxa"/>
        </w:tblCellMar>
      </w:tblPr>
      <w:tblGrid>
        <w:gridCol w:w="721"/>
        <w:gridCol w:w="1155"/>
        <w:gridCol w:w="1591"/>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仿宋_GB2312" w:hAnsi="宋体" w:eastAsia="仿宋_GB2312" w:cs="宋体"/>
                <w:b/>
                <w:kern w:val="0"/>
                <w:sz w:val="22"/>
              </w:rPr>
              <w:t>序号</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大规模在线开放课程（MOOC）示范项目</w:t>
            </w:r>
          </w:p>
        </w:tc>
        <w:tc>
          <w:tcPr>
            <w:tcW w:w="3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中国传统文化选讲</w:t>
            </w:r>
          </w:p>
        </w:tc>
        <w:tc>
          <w:tcPr>
            <w:tcW w:w="105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姚明会</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2018.12（延期）</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大规模在线开放课程（MOOC）示范项目</w:t>
            </w:r>
          </w:p>
        </w:tc>
        <w:tc>
          <w:tcPr>
            <w:tcW w:w="30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日语入门</w:t>
            </w:r>
          </w:p>
        </w:tc>
        <w:tc>
          <w:tcPr>
            <w:tcW w:w="105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刘晓春</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2018.12（延期）</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瑜伽</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褚先云</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2018.12（延期）</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kern w:val="0"/>
                <w:sz w:val="20"/>
                <w:szCs w:val="20"/>
                <w:lang w:eastAsia="zh-CN"/>
              </w:rPr>
            </w:pPr>
            <w:r>
              <w:rPr>
                <w:rFonts w:hint="eastAsia" w:ascii="宋体" w:hAnsi="宋体" w:eastAsia="宋体" w:cs="宋体"/>
                <w:bCs/>
                <w:kern w:val="0"/>
                <w:sz w:val="20"/>
                <w:szCs w:val="20"/>
                <w:lang w:val="en-US" w:eastAsia="zh-CN"/>
              </w:rPr>
              <w:t>4</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空中乘务英语</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凌云</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kern w:val="0"/>
                <w:sz w:val="20"/>
                <w:szCs w:val="20"/>
                <w:lang w:eastAsia="zh-CN"/>
              </w:rPr>
            </w:pPr>
            <w:r>
              <w:rPr>
                <w:rFonts w:hint="eastAsia" w:ascii="宋体" w:hAnsi="宋体" w:eastAsia="宋体" w:cs="宋体"/>
                <w:bCs/>
                <w:kern w:val="0"/>
                <w:sz w:val="20"/>
                <w:szCs w:val="20"/>
                <w:lang w:val="en-US" w:eastAsia="zh-CN"/>
              </w:rPr>
              <w:t>5</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初级舞蹈（爵士舞）</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余育娟</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kern w:val="0"/>
                <w:sz w:val="20"/>
                <w:szCs w:val="20"/>
                <w:lang w:eastAsia="zh-CN"/>
              </w:rPr>
            </w:pPr>
            <w:r>
              <w:rPr>
                <w:rFonts w:hint="eastAsia" w:ascii="宋体" w:hAnsi="宋体" w:eastAsia="宋体" w:cs="宋体"/>
                <w:kern w:val="0"/>
                <w:sz w:val="20"/>
                <w:szCs w:val="20"/>
                <w:lang w:val="en-US" w:eastAsia="zh-CN"/>
              </w:rPr>
              <w:t>6</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Flash动画</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程茜</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kern w:val="0"/>
                <w:sz w:val="20"/>
                <w:szCs w:val="20"/>
                <w:lang w:eastAsia="zh-CN"/>
              </w:rPr>
            </w:pPr>
            <w:r>
              <w:rPr>
                <w:rFonts w:hint="eastAsia" w:ascii="宋体" w:hAnsi="宋体" w:eastAsia="宋体" w:cs="宋体"/>
                <w:kern w:val="0"/>
                <w:sz w:val="20"/>
                <w:szCs w:val="20"/>
                <w:lang w:val="en-US" w:eastAsia="zh-CN"/>
              </w:rPr>
              <w:t>7</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经济数学</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王旭</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Cs/>
                <w:kern w:val="0"/>
                <w:sz w:val="20"/>
                <w:szCs w:val="20"/>
                <w:lang w:eastAsia="zh-CN"/>
              </w:rPr>
            </w:pPr>
            <w:r>
              <w:rPr>
                <w:rFonts w:hint="eastAsia" w:ascii="宋体" w:hAnsi="宋体" w:eastAsia="宋体" w:cs="宋体"/>
                <w:kern w:val="0"/>
                <w:sz w:val="20"/>
                <w:szCs w:val="20"/>
                <w:lang w:val="en-US" w:eastAsia="zh-CN"/>
              </w:rPr>
              <w:t>8</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大规模在线开放课程（MOOC）示范项目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大学生安全教育</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Cs/>
                <w:color w:val="000000"/>
                <w:kern w:val="0"/>
                <w:sz w:val="20"/>
                <w:szCs w:val="20"/>
              </w:rPr>
            </w:pPr>
            <w:r>
              <w:rPr>
                <w:rFonts w:hint="eastAsia" w:ascii="宋体" w:hAnsi="宋体" w:eastAsia="宋体" w:cs="宋体"/>
                <w:bCs/>
                <w:kern w:val="0"/>
                <w:sz w:val="20"/>
                <w:szCs w:val="20"/>
              </w:rPr>
              <w:t>徐健</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 w:val="20"/>
                <w:szCs w:val="20"/>
              </w:rPr>
            </w:pPr>
            <w:r>
              <w:rPr>
                <w:rFonts w:hint="eastAsia" w:ascii="宋体" w:hAnsi="宋体" w:eastAsia="宋体" w:cs="宋体"/>
                <w:bCs/>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9</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健身操舞智慧课堂试点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褚先云</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经济数学智慧课堂试点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王旭</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计算机辅助设计（CAD）智慧课堂试点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黄赟</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普通话与口才训练智慧课堂试点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汤洪丽</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大学生创新创业智慧课堂试点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彭曦</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口语交际智慧课堂试点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许梦原</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智慧课堂试点项目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经济数学智慧课堂试点</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王元明</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精品开放课程</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思想道德修养与法律基础</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陈琳</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2019.12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2017</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精品开放课程</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网络安全技术</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朱昊</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highlight w:val="none"/>
              </w:rPr>
              <w:t>2019.12</w:t>
            </w:r>
          </w:p>
        </w:tc>
      </w:tr>
    </w:tbl>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附件2</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hint="eastAsia" w:ascii="仿宋_GB2312" w:hAnsi="宋体" w:eastAsia="仿宋_GB2312" w:cs="宋体"/>
          <w:b/>
          <w:kern w:val="0"/>
          <w:sz w:val="32"/>
          <w:szCs w:val="32"/>
          <w:shd w:val="clear" w:color="auto" w:fill="FFFFFF"/>
          <w:lang w:eastAsia="zh-CN"/>
        </w:rPr>
      </w:pPr>
      <w:r>
        <w:rPr>
          <w:rFonts w:hint="eastAsia" w:ascii="仿宋_GB2312" w:hAnsi="宋体" w:eastAsia="仿宋_GB2312" w:cs="宋体"/>
          <w:b/>
          <w:kern w:val="0"/>
          <w:sz w:val="32"/>
          <w:szCs w:val="32"/>
          <w:shd w:val="clear" w:color="auto" w:fill="FFFFFF"/>
          <w:lang w:eastAsia="zh-CN"/>
        </w:rPr>
        <w:t>教育部未认定的高等职业教育创新发展行动计划</w:t>
      </w:r>
    </w:p>
    <w:p>
      <w:pPr>
        <w:widowControl/>
        <w:shd w:val="clear" w:color="auto" w:fill="FFFFFF"/>
        <w:jc w:val="center"/>
        <w:rPr>
          <w:rFonts w:hint="eastAsia" w:ascii="仿宋_GB2312" w:hAnsi="宋体" w:eastAsia="仿宋_GB2312" w:cs="宋体"/>
          <w:b/>
          <w:kern w:val="0"/>
          <w:sz w:val="32"/>
          <w:szCs w:val="32"/>
          <w:shd w:val="clear" w:color="auto" w:fill="FFFFFF"/>
          <w:lang w:eastAsia="zh-CN"/>
        </w:rPr>
      </w:pPr>
      <w:r>
        <w:rPr>
          <w:rFonts w:hint="eastAsia" w:ascii="仿宋_GB2312" w:hAnsi="宋体" w:eastAsia="仿宋_GB2312" w:cs="宋体"/>
          <w:b/>
          <w:kern w:val="0"/>
          <w:sz w:val="32"/>
          <w:szCs w:val="32"/>
          <w:shd w:val="clear" w:color="auto" w:fill="FFFFFF"/>
          <w:lang w:eastAsia="zh-CN"/>
        </w:rPr>
        <w:t>（2015—2018年）课程类项目结题验收一览表</w:t>
      </w:r>
    </w:p>
    <w:p>
      <w:pPr>
        <w:widowControl/>
        <w:shd w:val="clear" w:color="auto" w:fill="FFFFFF"/>
        <w:rPr>
          <w:rFonts w:hint="eastAsia" w:ascii="仿宋_GB2312" w:hAnsi="宋体" w:eastAsia="仿宋_GB2312" w:cs="宋体"/>
          <w:kern w:val="0"/>
          <w:sz w:val="32"/>
          <w:szCs w:val="32"/>
          <w:shd w:val="clear" w:color="auto" w:fill="FFFFFF"/>
        </w:rPr>
      </w:pPr>
    </w:p>
    <w:p>
      <w:pPr>
        <w:widowControl/>
        <w:shd w:val="clear" w:color="auto" w:fill="FFFFFF"/>
        <w:jc w:val="center"/>
        <w:rPr>
          <w:rFonts w:ascii="仿宋_GB2312" w:hAnsi="宋体" w:eastAsia="仿宋_GB2312" w:cs="宋体"/>
          <w:kern w:val="0"/>
          <w:sz w:val="24"/>
          <w:shd w:val="clear" w:color="auto" w:fill="FFFFFF"/>
        </w:rPr>
      </w:pPr>
    </w:p>
    <w:tbl>
      <w:tblPr>
        <w:tblStyle w:val="7"/>
        <w:tblW w:w="7554" w:type="dxa"/>
        <w:tblInd w:w="0" w:type="dxa"/>
        <w:tblLayout w:type="fixed"/>
        <w:tblCellMar>
          <w:top w:w="0" w:type="dxa"/>
          <w:left w:w="108" w:type="dxa"/>
          <w:bottom w:w="0" w:type="dxa"/>
          <w:right w:w="108" w:type="dxa"/>
        </w:tblCellMar>
      </w:tblPr>
      <w:tblGrid>
        <w:gridCol w:w="721"/>
        <w:gridCol w:w="1129"/>
        <w:gridCol w:w="1617"/>
        <w:gridCol w:w="3033"/>
        <w:gridCol w:w="1054"/>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kern w:val="0"/>
                <w:sz w:val="24"/>
              </w:rPr>
            </w:pPr>
            <w:r>
              <w:rPr>
                <w:rFonts w:hint="eastAsia" w:ascii="仿宋_GB2312" w:hAnsi="宋体" w:eastAsia="仿宋_GB2312" w:cs="宋体"/>
                <w:b/>
                <w:kern w:val="0"/>
                <w:sz w:val="22"/>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r>
      <w:tr>
        <w:tblPrEx>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2016</w:t>
            </w:r>
          </w:p>
        </w:tc>
        <w:tc>
          <w:tcPr>
            <w:tcW w:w="1617"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精品在线开放课程</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外贸单证实务</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刘丽</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2016</w:t>
            </w:r>
          </w:p>
        </w:tc>
        <w:tc>
          <w:tcPr>
            <w:tcW w:w="1617"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精品在线开放课程</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《思想道德修养与法律基础》</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陈琳</w:t>
            </w:r>
          </w:p>
        </w:tc>
      </w:tr>
    </w:tbl>
    <w:p>
      <w:pPr>
        <w:widowControl/>
        <w:shd w:val="clear" w:color="auto" w:fill="FFFFFF"/>
        <w:rPr>
          <w:rFonts w:hint="eastAsia" w:ascii="仿宋_GB2312" w:hAnsi="宋体" w:eastAsia="仿宋_GB2312" w:cs="宋体"/>
          <w:kern w:val="0"/>
          <w:sz w:val="32"/>
          <w:szCs w:val="32"/>
          <w:shd w:val="clear" w:color="auto" w:fill="FFFFFF"/>
        </w:rPr>
      </w:pPr>
    </w:p>
    <w:p>
      <w:pPr>
        <w:widowControl/>
        <w:shd w:val="clear" w:color="auto" w:fill="FFFFFF"/>
        <w:rPr>
          <w:rFonts w:hint="eastAsia" w:ascii="仿宋_GB2312" w:hAnsi="宋体" w:eastAsia="仿宋_GB2312" w:cs="宋体"/>
          <w:kern w:val="0"/>
          <w:sz w:val="32"/>
          <w:szCs w:val="32"/>
          <w:shd w:val="clear" w:color="auto" w:fill="FFFFFF"/>
        </w:rPr>
      </w:pPr>
    </w:p>
    <w:p>
      <w:pPr>
        <w:widowControl/>
        <w:shd w:val="clear" w:color="auto" w:fill="FFFFFF"/>
        <w:rPr>
          <w:rFonts w:hint="eastAsia" w:ascii="仿宋_GB2312" w:hAnsi="宋体" w:eastAsia="仿宋_GB2312" w:cs="宋体"/>
          <w:kern w:val="0"/>
          <w:sz w:val="32"/>
          <w:szCs w:val="32"/>
          <w:shd w:val="clear" w:color="auto" w:fill="FFFFFF"/>
        </w:rPr>
      </w:pPr>
    </w:p>
    <w:p>
      <w:pPr>
        <w:widowControl/>
        <w:shd w:val="clear" w:color="auto" w:fill="FFFFFF"/>
        <w:rPr>
          <w:rFonts w:hint="eastAsia" w:ascii="仿宋_GB2312" w:hAnsi="宋体" w:eastAsia="仿宋_GB2312" w:cs="宋体"/>
          <w:kern w:val="0"/>
          <w:sz w:val="32"/>
          <w:szCs w:val="32"/>
          <w:shd w:val="clear" w:color="auto" w:fill="FFFFFF"/>
        </w:rPr>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480" w:lineRule="auto"/>
      </w:pPr>
    </w:p>
    <w:p>
      <w:pPr>
        <w:widowControl/>
        <w:spacing w:line="580" w:lineRule="exact"/>
        <w:jc w:val="left"/>
        <w:rPr>
          <w:rFonts w:hint="eastAsia" w:ascii="黑体" w:hAnsi="宋体" w:eastAsia="黑体" w:cs="宋体"/>
          <w:kern w:val="0"/>
          <w:sz w:val="32"/>
          <w:szCs w:val="32"/>
          <w:shd w:val="clear" w:color="auto" w:fill="FFFFFF"/>
        </w:rPr>
      </w:pPr>
    </w:p>
    <w:p>
      <w:pPr>
        <w:widowControl/>
        <w:spacing w:line="580" w:lineRule="exact"/>
        <w:jc w:val="left"/>
        <w:rPr>
          <w:rFonts w:hint="eastAsia" w:ascii="黑体" w:hAnsi="宋体" w:eastAsia="黑体" w:cs="宋体"/>
          <w:kern w:val="0"/>
          <w:sz w:val="32"/>
          <w:szCs w:val="32"/>
          <w:shd w:val="clear" w:color="auto" w:fill="FFFFFF"/>
        </w:rPr>
      </w:pPr>
    </w:p>
    <w:p>
      <w:pPr>
        <w:widowControl/>
        <w:spacing w:line="580" w:lineRule="exact"/>
        <w:jc w:val="left"/>
        <w:rPr>
          <w:rFonts w:hint="eastAsia" w:ascii="黑体" w:hAnsi="宋体" w:eastAsia="黑体" w:cs="宋体"/>
          <w:kern w:val="0"/>
          <w:sz w:val="32"/>
          <w:szCs w:val="32"/>
          <w:shd w:val="clear" w:color="auto" w:fill="FFFFFF"/>
        </w:rPr>
      </w:pPr>
    </w:p>
    <w:p>
      <w:pPr>
        <w:widowControl/>
        <w:spacing w:line="580" w:lineRule="exact"/>
        <w:jc w:val="left"/>
        <w:rPr>
          <w:rFonts w:hint="eastAsia" w:ascii="黑体" w:hAnsi="宋体" w:eastAsia="黑体" w:cs="宋体"/>
          <w:kern w:val="0"/>
          <w:sz w:val="32"/>
          <w:szCs w:val="32"/>
          <w:shd w:val="clear" w:color="auto" w:fill="FFFFFF"/>
        </w:rPr>
      </w:pPr>
    </w:p>
    <w:p>
      <w:pPr>
        <w:widowControl/>
        <w:spacing w:line="580" w:lineRule="exact"/>
        <w:jc w:val="left"/>
        <w:rPr>
          <w:rFonts w:hint="eastAsia" w:ascii="黑体" w:hAnsi="宋体" w:eastAsia="黑体" w:cs="宋体"/>
          <w:kern w:val="0"/>
          <w:sz w:val="32"/>
          <w:szCs w:val="32"/>
          <w:shd w:val="clear" w:color="auto" w:fill="FFFFFF"/>
        </w:rPr>
      </w:pPr>
    </w:p>
    <w:p>
      <w:pPr>
        <w:widowControl/>
        <w:spacing w:line="580" w:lineRule="exact"/>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附件3：</w:t>
      </w:r>
    </w:p>
    <w:p>
      <w:pPr>
        <w:widowControl/>
        <w:shd w:val="clear" w:color="auto" w:fill="FFFFFF"/>
        <w:jc w:val="center"/>
        <w:rPr>
          <w:rFonts w:hint="eastAsia" w:ascii="仿宋_GB2312" w:hAnsi="宋体" w:eastAsia="仿宋_GB2312" w:cs="宋体"/>
          <w:b/>
          <w:kern w:val="0"/>
          <w:sz w:val="32"/>
          <w:szCs w:val="32"/>
          <w:shd w:val="clear" w:color="auto" w:fill="FFFFFF"/>
        </w:rPr>
      </w:pPr>
    </w:p>
    <w:p>
      <w:pPr>
        <w:widowControl/>
        <w:shd w:val="clear" w:color="auto" w:fill="FFFFFF"/>
        <w:jc w:val="center"/>
        <w:rPr>
          <w:rFonts w:ascii="仿宋_GB2312" w:hAnsi="宋体" w:eastAsia="仿宋_GB2312" w:cs="宋体"/>
          <w:kern w:val="0"/>
          <w:sz w:val="24"/>
          <w:shd w:val="clear" w:color="auto" w:fill="FFFFFF"/>
        </w:rPr>
      </w:pPr>
      <w:r>
        <w:rPr>
          <w:rFonts w:hint="eastAsia" w:ascii="仿宋_GB2312" w:hAnsi="宋体" w:eastAsia="仿宋_GB2312" w:cs="宋体"/>
          <w:b/>
          <w:kern w:val="0"/>
          <w:sz w:val="32"/>
          <w:szCs w:val="32"/>
          <w:shd w:val="clear" w:color="auto" w:fill="FFFFFF"/>
          <w:lang w:eastAsia="zh-CN"/>
        </w:rPr>
        <w:t>省级质量工程</w:t>
      </w:r>
      <w:r>
        <w:rPr>
          <w:rFonts w:hint="eastAsia" w:ascii="仿宋_GB2312" w:hAnsi="宋体" w:eastAsia="仿宋_GB2312" w:cs="宋体"/>
          <w:b/>
          <w:kern w:val="0"/>
          <w:sz w:val="32"/>
          <w:szCs w:val="32"/>
          <w:shd w:val="clear" w:color="auto" w:fill="FFFFFF"/>
        </w:rPr>
        <w:t>课程建设类项目年度检查一览表</w:t>
      </w:r>
    </w:p>
    <w:tbl>
      <w:tblPr>
        <w:tblStyle w:val="7"/>
        <w:tblW w:w="8830" w:type="dxa"/>
        <w:tblInd w:w="0" w:type="dxa"/>
        <w:tblLayout w:type="fixed"/>
        <w:tblCellMar>
          <w:top w:w="0" w:type="dxa"/>
          <w:left w:w="108" w:type="dxa"/>
          <w:bottom w:w="0" w:type="dxa"/>
          <w:right w:w="108" w:type="dxa"/>
        </w:tblCellMar>
      </w:tblPr>
      <w:tblGrid>
        <w:gridCol w:w="721"/>
        <w:gridCol w:w="1129"/>
        <w:gridCol w:w="1617"/>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kern w:val="0"/>
                <w:sz w:val="24"/>
              </w:rPr>
            </w:pPr>
            <w:r>
              <w:rPr>
                <w:rFonts w:hint="eastAsia" w:ascii="仿宋_GB2312" w:hAnsi="宋体" w:eastAsia="仿宋_GB2312" w:cs="宋体"/>
                <w:b/>
                <w:kern w:val="0"/>
                <w:sz w:val="22"/>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办公自动化</w:t>
            </w:r>
          </w:p>
        </w:tc>
        <w:tc>
          <w:tcPr>
            <w:tcW w:w="1054"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李嶒</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旅游英语-入境篇</w:t>
            </w:r>
          </w:p>
        </w:tc>
        <w:tc>
          <w:tcPr>
            <w:tcW w:w="1054"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宋丽</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酒店情境英语</w:t>
            </w:r>
          </w:p>
        </w:tc>
        <w:tc>
          <w:tcPr>
            <w:tcW w:w="1054" w:type="dxa"/>
            <w:tcBorders>
              <w:top w:val="nil"/>
              <w:left w:val="nil"/>
              <w:bottom w:val="single" w:color="auto" w:sz="4" w:space="0"/>
              <w:right w:val="single" w:color="auto" w:sz="4" w:space="0"/>
            </w:tcBorders>
            <w:shd w:val="clear" w:color="auto" w:fill="FFFFFF"/>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李艳</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大学生心理健康教育</w:t>
            </w:r>
          </w:p>
        </w:tc>
        <w:tc>
          <w:tcPr>
            <w:tcW w:w="1054" w:type="dxa"/>
            <w:tcBorders>
              <w:top w:val="nil"/>
              <w:left w:val="nil"/>
              <w:bottom w:val="single" w:color="auto" w:sz="4" w:space="0"/>
              <w:right w:val="single" w:color="auto" w:sz="4" w:space="0"/>
            </w:tcBorders>
            <w:shd w:val="clear" w:color="auto" w:fill="FFFFFF"/>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盛烨</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大规模在线开放课程（MOOC）示范项目</w:t>
            </w:r>
          </w:p>
        </w:tc>
        <w:tc>
          <w:tcPr>
            <w:tcW w:w="3033"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电子商务物流管理</w:t>
            </w:r>
          </w:p>
        </w:tc>
        <w:tc>
          <w:tcPr>
            <w:tcW w:w="1054" w:type="dxa"/>
            <w:tcBorders>
              <w:top w:val="nil"/>
              <w:left w:val="nil"/>
              <w:bottom w:val="single" w:color="auto" w:sz="4" w:space="0"/>
              <w:right w:val="single" w:color="auto" w:sz="4" w:space="0"/>
            </w:tcBorders>
            <w:shd w:val="clear" w:color="auto" w:fill="FFFFFF"/>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李艳</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vAlign w:val="top"/>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精品线下开放课程</w:t>
            </w:r>
          </w:p>
        </w:tc>
        <w:tc>
          <w:tcPr>
            <w:tcW w:w="3033" w:type="dxa"/>
            <w:tcBorders>
              <w:top w:val="nil"/>
              <w:left w:val="nil"/>
              <w:bottom w:val="single" w:color="auto" w:sz="4" w:space="0"/>
              <w:right w:val="single" w:color="auto" w:sz="4" w:space="0"/>
            </w:tcBorders>
            <w:shd w:val="clear" w:color="auto" w:fill="auto"/>
            <w:vAlign w:val="top"/>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客户服务与管理实务</w:t>
            </w:r>
          </w:p>
        </w:tc>
        <w:tc>
          <w:tcPr>
            <w:tcW w:w="1054" w:type="dxa"/>
            <w:tcBorders>
              <w:top w:val="nil"/>
              <w:left w:val="nil"/>
              <w:bottom w:val="single" w:color="auto" w:sz="4" w:space="0"/>
              <w:right w:val="single" w:color="auto" w:sz="4" w:space="0"/>
            </w:tcBorders>
            <w:shd w:val="clear" w:color="auto" w:fill="FFFFFF"/>
            <w:vAlign w:val="top"/>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卢灵丽</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lang w:val="en-US" w:eastAsia="zh-CN" w:bidi="ar-SA"/>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vAlign w:val="top"/>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智慧课堂</w:t>
            </w:r>
          </w:p>
        </w:tc>
        <w:tc>
          <w:tcPr>
            <w:tcW w:w="3033" w:type="dxa"/>
            <w:tcBorders>
              <w:top w:val="nil"/>
              <w:left w:val="nil"/>
              <w:bottom w:val="single" w:color="auto" w:sz="4" w:space="0"/>
              <w:right w:val="single" w:color="auto" w:sz="4" w:space="0"/>
            </w:tcBorders>
            <w:shd w:val="clear" w:color="auto" w:fill="auto"/>
            <w:vAlign w:val="top"/>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旅游心理学</w:t>
            </w:r>
          </w:p>
        </w:tc>
        <w:tc>
          <w:tcPr>
            <w:tcW w:w="1054" w:type="dxa"/>
            <w:tcBorders>
              <w:top w:val="nil"/>
              <w:left w:val="nil"/>
              <w:bottom w:val="single" w:color="auto" w:sz="4" w:space="0"/>
              <w:right w:val="single" w:color="auto" w:sz="4" w:space="0"/>
            </w:tcBorders>
            <w:shd w:val="clear" w:color="auto" w:fill="FFFFFF"/>
            <w:vAlign w:val="top"/>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张涛</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kern w:val="0"/>
                <w:sz w:val="20"/>
                <w:szCs w:val="20"/>
                <w:lang w:val="en-US" w:eastAsia="zh-CN" w:bidi="ar-SA"/>
              </w:rPr>
            </w:pPr>
            <w:r>
              <w:rPr>
                <w:rFonts w:hint="eastAsia" w:ascii="宋体" w:hAnsi="宋体" w:eastAsia="宋体" w:cs="宋体"/>
                <w:kern w:val="0"/>
                <w:sz w:val="20"/>
                <w:szCs w:val="20"/>
              </w:rPr>
              <w:t>2018</w:t>
            </w:r>
          </w:p>
        </w:tc>
        <w:tc>
          <w:tcPr>
            <w:tcW w:w="1617" w:type="dxa"/>
            <w:tcBorders>
              <w:top w:val="nil"/>
              <w:left w:val="nil"/>
              <w:bottom w:val="single" w:color="auto" w:sz="4" w:space="0"/>
              <w:right w:val="single" w:color="auto" w:sz="4" w:space="0"/>
            </w:tcBorders>
            <w:shd w:val="clear" w:color="auto" w:fill="auto"/>
            <w:vAlign w:val="top"/>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智慧课堂</w:t>
            </w:r>
          </w:p>
        </w:tc>
        <w:tc>
          <w:tcPr>
            <w:tcW w:w="3033" w:type="dxa"/>
            <w:tcBorders>
              <w:top w:val="nil"/>
              <w:left w:val="nil"/>
              <w:bottom w:val="single" w:color="auto" w:sz="4" w:space="0"/>
              <w:right w:val="single" w:color="auto" w:sz="4" w:space="0"/>
            </w:tcBorders>
            <w:shd w:val="clear" w:color="auto" w:fill="auto"/>
            <w:vAlign w:val="top"/>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艺术设计导论</w:t>
            </w:r>
          </w:p>
        </w:tc>
        <w:tc>
          <w:tcPr>
            <w:tcW w:w="1054" w:type="dxa"/>
            <w:tcBorders>
              <w:top w:val="nil"/>
              <w:left w:val="nil"/>
              <w:bottom w:val="single" w:color="auto" w:sz="4" w:space="0"/>
              <w:right w:val="single" w:color="auto" w:sz="4" w:space="0"/>
            </w:tcBorders>
            <w:shd w:val="clear" w:color="auto" w:fill="FFFFFF"/>
            <w:vAlign w:val="top"/>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崔金敏</w:t>
            </w:r>
          </w:p>
        </w:tc>
        <w:tc>
          <w:tcPr>
            <w:tcW w:w="127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2020.12</w:t>
            </w:r>
          </w:p>
        </w:tc>
      </w:tr>
    </w:tbl>
    <w:p>
      <w:pPr>
        <w:widowControl/>
        <w:spacing w:line="480" w:lineRule="auto"/>
      </w:pPr>
    </w:p>
    <w:p>
      <w:pPr>
        <w:widowControl/>
        <w:spacing w:line="480" w:lineRule="auto"/>
      </w:pPr>
    </w:p>
    <w:p>
      <w:pPr>
        <w:widowControl/>
        <w:spacing w:line="480" w:lineRule="auto"/>
      </w:pPr>
    </w:p>
    <w:p>
      <w:pPr>
        <w:widowControl/>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0434A"/>
    <w:rsid w:val="000138A4"/>
    <w:rsid w:val="00014EAE"/>
    <w:rsid w:val="00043FA6"/>
    <w:rsid w:val="000A281B"/>
    <w:rsid w:val="000D6D97"/>
    <w:rsid w:val="0010434A"/>
    <w:rsid w:val="001452B4"/>
    <w:rsid w:val="00197C49"/>
    <w:rsid w:val="001A1003"/>
    <w:rsid w:val="001A329D"/>
    <w:rsid w:val="001B2DD6"/>
    <w:rsid w:val="00323692"/>
    <w:rsid w:val="00326DCE"/>
    <w:rsid w:val="00335EB9"/>
    <w:rsid w:val="0035551F"/>
    <w:rsid w:val="00384E31"/>
    <w:rsid w:val="003C4045"/>
    <w:rsid w:val="00414B18"/>
    <w:rsid w:val="00452DF4"/>
    <w:rsid w:val="004756CA"/>
    <w:rsid w:val="0048763E"/>
    <w:rsid w:val="004D2D4D"/>
    <w:rsid w:val="006510AA"/>
    <w:rsid w:val="00651B3E"/>
    <w:rsid w:val="006F549A"/>
    <w:rsid w:val="00766ABB"/>
    <w:rsid w:val="007F4D83"/>
    <w:rsid w:val="00A15275"/>
    <w:rsid w:val="00A47282"/>
    <w:rsid w:val="00A933E5"/>
    <w:rsid w:val="00B2632B"/>
    <w:rsid w:val="00B34109"/>
    <w:rsid w:val="00B4002B"/>
    <w:rsid w:val="00BF61C5"/>
    <w:rsid w:val="00C00361"/>
    <w:rsid w:val="00C128BE"/>
    <w:rsid w:val="00D31A2B"/>
    <w:rsid w:val="00D41387"/>
    <w:rsid w:val="00DA2E30"/>
    <w:rsid w:val="00E60B39"/>
    <w:rsid w:val="00ED6EF3"/>
    <w:rsid w:val="00F32703"/>
    <w:rsid w:val="00F6711E"/>
    <w:rsid w:val="00F83833"/>
    <w:rsid w:val="031A7E94"/>
    <w:rsid w:val="04800C7C"/>
    <w:rsid w:val="05D2670A"/>
    <w:rsid w:val="069446F2"/>
    <w:rsid w:val="071E0277"/>
    <w:rsid w:val="09376128"/>
    <w:rsid w:val="09807514"/>
    <w:rsid w:val="0AA9041F"/>
    <w:rsid w:val="0B2D53CC"/>
    <w:rsid w:val="0C60053D"/>
    <w:rsid w:val="0DD0065B"/>
    <w:rsid w:val="12BC534B"/>
    <w:rsid w:val="13176EB0"/>
    <w:rsid w:val="13F52689"/>
    <w:rsid w:val="15207C7D"/>
    <w:rsid w:val="15857399"/>
    <w:rsid w:val="16282FF5"/>
    <w:rsid w:val="182A585D"/>
    <w:rsid w:val="18490AC3"/>
    <w:rsid w:val="194154BC"/>
    <w:rsid w:val="19DC0933"/>
    <w:rsid w:val="19DD1E72"/>
    <w:rsid w:val="1F2513EC"/>
    <w:rsid w:val="22714302"/>
    <w:rsid w:val="22CB424B"/>
    <w:rsid w:val="23412E3E"/>
    <w:rsid w:val="24B75721"/>
    <w:rsid w:val="24C872D6"/>
    <w:rsid w:val="25B46293"/>
    <w:rsid w:val="26A61FB0"/>
    <w:rsid w:val="26D46197"/>
    <w:rsid w:val="27703FEB"/>
    <w:rsid w:val="27963CC2"/>
    <w:rsid w:val="29F34E98"/>
    <w:rsid w:val="2A1C64AA"/>
    <w:rsid w:val="2A700B56"/>
    <w:rsid w:val="2B8F5DA9"/>
    <w:rsid w:val="2BD70FB8"/>
    <w:rsid w:val="2C065126"/>
    <w:rsid w:val="31AE0451"/>
    <w:rsid w:val="32006D4F"/>
    <w:rsid w:val="325D422F"/>
    <w:rsid w:val="350279D9"/>
    <w:rsid w:val="350A6E58"/>
    <w:rsid w:val="360620F4"/>
    <w:rsid w:val="365C6B57"/>
    <w:rsid w:val="374A048C"/>
    <w:rsid w:val="3A365C0F"/>
    <w:rsid w:val="3AA44B5C"/>
    <w:rsid w:val="3BD079D5"/>
    <w:rsid w:val="3BEC5D82"/>
    <w:rsid w:val="3CD974F7"/>
    <w:rsid w:val="3D3825C6"/>
    <w:rsid w:val="3ED21BAF"/>
    <w:rsid w:val="41F0292E"/>
    <w:rsid w:val="46781735"/>
    <w:rsid w:val="475A18D6"/>
    <w:rsid w:val="48313F3A"/>
    <w:rsid w:val="484437D8"/>
    <w:rsid w:val="48E10BD3"/>
    <w:rsid w:val="48E2305D"/>
    <w:rsid w:val="49503C89"/>
    <w:rsid w:val="4C486ED7"/>
    <w:rsid w:val="4C8B517D"/>
    <w:rsid w:val="4CC10FB0"/>
    <w:rsid w:val="4CF35484"/>
    <w:rsid w:val="4D1A4F4E"/>
    <w:rsid w:val="4D1B1EAB"/>
    <w:rsid w:val="4E55184B"/>
    <w:rsid w:val="4EC369FD"/>
    <w:rsid w:val="4F24091C"/>
    <w:rsid w:val="4F42516B"/>
    <w:rsid w:val="4FD84141"/>
    <w:rsid w:val="50A5788A"/>
    <w:rsid w:val="50CF0F61"/>
    <w:rsid w:val="517117AD"/>
    <w:rsid w:val="52F26B67"/>
    <w:rsid w:val="56D269DF"/>
    <w:rsid w:val="57A22242"/>
    <w:rsid w:val="595400FE"/>
    <w:rsid w:val="5B742EDF"/>
    <w:rsid w:val="5D2B0D7E"/>
    <w:rsid w:val="5DC326D2"/>
    <w:rsid w:val="605064D7"/>
    <w:rsid w:val="6407782E"/>
    <w:rsid w:val="64C1185A"/>
    <w:rsid w:val="65AE50EA"/>
    <w:rsid w:val="66911D6E"/>
    <w:rsid w:val="66B26063"/>
    <w:rsid w:val="6B385BC0"/>
    <w:rsid w:val="6B6C4E77"/>
    <w:rsid w:val="6CD31BF1"/>
    <w:rsid w:val="6D2C33EE"/>
    <w:rsid w:val="6F457E7A"/>
    <w:rsid w:val="6FB5010A"/>
    <w:rsid w:val="70966B4A"/>
    <w:rsid w:val="717A63E8"/>
    <w:rsid w:val="7207002B"/>
    <w:rsid w:val="72117ABF"/>
    <w:rsid w:val="721329DC"/>
    <w:rsid w:val="73744AA4"/>
    <w:rsid w:val="737E50BE"/>
    <w:rsid w:val="73DB0197"/>
    <w:rsid w:val="742E508F"/>
    <w:rsid w:val="74E043DA"/>
    <w:rsid w:val="75B16D6E"/>
    <w:rsid w:val="76204D66"/>
    <w:rsid w:val="77770D2B"/>
    <w:rsid w:val="77C336EE"/>
    <w:rsid w:val="789F1A52"/>
    <w:rsid w:val="799A3847"/>
    <w:rsid w:val="79AA4CFA"/>
    <w:rsid w:val="7B5D22DF"/>
    <w:rsid w:val="7B9E4BEB"/>
    <w:rsid w:val="7C4F6284"/>
    <w:rsid w:val="7DB97FC2"/>
    <w:rsid w:val="7FA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3"/>
    <w:semiHidden/>
    <w:unhideWhenUsed/>
    <w:qFormat/>
    <w:uiPriority w:val="99"/>
    <w:pPr>
      <w:tabs>
        <w:tab w:val="center" w:pos="4153"/>
        <w:tab w:val="right" w:pos="8306"/>
      </w:tabs>
      <w:snapToGrid w:val="0"/>
      <w:jc w:val="left"/>
    </w:pPr>
    <w:rPr>
      <w:sz w:val="18"/>
      <w:szCs w:val="18"/>
    </w:rPr>
  </w:style>
  <w:style w:type="paragraph" w:styleId="5">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character" w:styleId="10">
    <w:name w:val="FollowedHyperlink"/>
    <w:basedOn w:val="8"/>
    <w:unhideWhenUsed/>
    <w:qFormat/>
    <w:uiPriority w:val="99"/>
    <w:rPr>
      <w:color w:val="262626"/>
      <w:sz w:val="18"/>
      <w:szCs w:val="18"/>
      <w:u w:val="none"/>
    </w:rPr>
  </w:style>
  <w:style w:type="character" w:styleId="11">
    <w:name w:val="HTML Definition"/>
    <w:basedOn w:val="8"/>
    <w:semiHidden/>
    <w:unhideWhenUsed/>
    <w:qFormat/>
    <w:uiPriority w:val="99"/>
    <w:rPr>
      <w:i/>
    </w:rPr>
  </w:style>
  <w:style w:type="character" w:styleId="12">
    <w:name w:val="HTML Acronym"/>
    <w:basedOn w:val="8"/>
    <w:semiHidden/>
    <w:unhideWhenUsed/>
    <w:qFormat/>
    <w:uiPriority w:val="99"/>
  </w:style>
  <w:style w:type="character" w:styleId="13">
    <w:name w:val="Hyperlink"/>
    <w:basedOn w:val="8"/>
    <w:unhideWhenUsed/>
    <w:qFormat/>
    <w:uiPriority w:val="99"/>
    <w:rPr>
      <w:color w:val="262626"/>
      <w:sz w:val="18"/>
      <w:szCs w:val="18"/>
      <w:u w:val="none"/>
    </w:rPr>
  </w:style>
  <w:style w:type="character" w:styleId="14">
    <w:name w:val="HTML Code"/>
    <w:basedOn w:val="8"/>
    <w:semiHidden/>
    <w:unhideWhenUsed/>
    <w:qFormat/>
    <w:uiPriority w:val="99"/>
    <w:rPr>
      <w:rFonts w:hint="default" w:ascii="monospace" w:hAnsi="monospace" w:eastAsia="monospace" w:cs="monospace"/>
      <w:sz w:val="21"/>
      <w:szCs w:val="21"/>
    </w:rPr>
  </w:style>
  <w:style w:type="character" w:styleId="15">
    <w:name w:val="HTML Keyboard"/>
    <w:basedOn w:val="8"/>
    <w:semiHidden/>
    <w:unhideWhenUsed/>
    <w:qFormat/>
    <w:uiPriority w:val="99"/>
    <w:rPr>
      <w:rFonts w:ascii="monospace" w:hAnsi="monospace" w:eastAsia="monospace" w:cs="monospace"/>
      <w:sz w:val="21"/>
      <w:szCs w:val="21"/>
    </w:rPr>
  </w:style>
  <w:style w:type="character" w:styleId="16">
    <w:name w:val="HTML Sample"/>
    <w:basedOn w:val="8"/>
    <w:semiHidden/>
    <w:unhideWhenUsed/>
    <w:qFormat/>
    <w:uiPriority w:val="99"/>
    <w:rPr>
      <w:rFonts w:hint="default" w:ascii="monospace" w:hAnsi="monospace" w:eastAsia="monospace" w:cs="monospace"/>
      <w:sz w:val="21"/>
      <w:szCs w:val="21"/>
    </w:rPr>
  </w:style>
  <w:style w:type="character" w:customStyle="1" w:styleId="17">
    <w:name w:val="标题 1 Char"/>
    <w:basedOn w:val="8"/>
    <w:link w:val="2"/>
    <w:qFormat/>
    <w:uiPriority w:val="9"/>
    <w:rPr>
      <w:rFonts w:ascii="宋体" w:hAnsi="宋体" w:eastAsia="宋体" w:cs="宋体"/>
      <w:b/>
      <w:bCs/>
      <w:kern w:val="36"/>
      <w:sz w:val="48"/>
      <w:szCs w:val="48"/>
    </w:rPr>
  </w:style>
  <w:style w:type="character" w:customStyle="1" w:styleId="18">
    <w:name w:val="标题 2 Char"/>
    <w:basedOn w:val="8"/>
    <w:link w:val="3"/>
    <w:qFormat/>
    <w:uiPriority w:val="9"/>
    <w:rPr>
      <w:rFonts w:ascii="宋体" w:hAnsi="宋体" w:eastAsia="宋体" w:cs="宋体"/>
      <w:b/>
      <w:bCs/>
      <w:kern w:val="0"/>
      <w:sz w:val="36"/>
      <w:szCs w:val="36"/>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1">
    <w:name w:val="CM21"/>
    <w:basedOn w:val="20"/>
    <w:next w:val="20"/>
    <w:qFormat/>
    <w:uiPriority w:val="99"/>
    <w:pPr>
      <w:spacing w:after="415"/>
    </w:pPr>
    <w:rPr>
      <w:color w:val="auto"/>
    </w:rPr>
  </w:style>
  <w:style w:type="character" w:customStyle="1" w:styleId="22">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23">
    <w:name w:val="页脚 Char"/>
    <w:basedOn w:val="8"/>
    <w:link w:val="4"/>
    <w:semiHidden/>
    <w:qFormat/>
    <w:uiPriority w:val="99"/>
    <w:rPr>
      <w:rFonts w:asciiTheme="minorHAnsi" w:hAnsiTheme="minorHAnsi" w:eastAsiaTheme="minorEastAsia" w:cstheme="minorBidi"/>
      <w:kern w:val="2"/>
      <w:sz w:val="18"/>
      <w:szCs w:val="18"/>
    </w:rPr>
  </w:style>
  <w:style w:type="paragraph" w:customStyle="1" w:styleId="24">
    <w:name w:val="Table Paragraph"/>
    <w:basedOn w:val="1"/>
    <w:qFormat/>
    <w:uiPriority w:val="1"/>
  </w:style>
  <w:style w:type="character" w:customStyle="1" w:styleId="25">
    <w:name w:val="u-sub"/>
    <w:basedOn w:val="8"/>
    <w:uiPriority w:val="0"/>
    <w:rPr>
      <w:color w:val="FFFFFF"/>
      <w:shd w:val="clear" w:fill="0061B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724</Words>
  <Characters>4130</Characters>
  <Lines>34</Lines>
  <Paragraphs>9</Paragraphs>
  <TotalTime>16</TotalTime>
  <ScaleCrop>false</ScaleCrop>
  <LinksUpToDate>false</LinksUpToDate>
  <CharactersWithSpaces>4845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2017-10-11T04:37:00Z</dcterms:created>
  <dc:creator>hp</dc:creator>
  <cp:lastModifiedBy>黄燕</cp:lastModifiedBy>
  <cp:lastPrinted>2020-04-17T07:30:00Z</cp:lastPrinted>
  <dcterms:modified xsi:type="dcterms:W3CDTF">2020-05-06T02:23:31Z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